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footer4.xml" ContentType="application/vnd.openxmlformats-officedocument.wordprocessingml.footer+xml"/>
  <Override PartName="/word/footer4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0"/>
          <w:szCs w:val="40"/>
          <w:rFonts w:ascii="宋体" w:eastAsia="宋体" w:hAnsi="宋体" w:hint="default"/>
        </w:rPr>
        <w:snapToGrid w:val="off"/>
        <w:autoSpaceDE w:val="1"/>
        <w:autoSpaceDN w:val="1"/>
      </w:pPr>
      <w:r>
        <w:rPr>
          <w:b w:val="1"/>
          <w:color w:val="auto"/>
          <w:position w:val="0"/>
          <w:sz w:val="40"/>
          <w:szCs w:val="40"/>
          <w:rFonts w:ascii="宋体" w:eastAsia="宋体" w:hAnsi="宋体" w:hint="default"/>
        </w:rPr>
        <w:t>小楼门星级厕所改建工程</w:t>
      </w:r>
    </w:p>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竞</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争</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性</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谈</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判</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文</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件</w:t>
      </w: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r>
        <w:rPr>
          <w:b w:val="1"/>
          <w:color w:val="auto"/>
          <w:position w:val="0"/>
          <w:sz w:val="28"/>
          <w:szCs w:val="28"/>
          <w:rFonts w:ascii="宋体" w:eastAsia="宋体" w:hAnsi="宋体" w:hint="default"/>
        </w:rPr>
        <w:t xml:space="preserve"> 采 购 人：</w:t>
      </w:r>
      <w:r>
        <w:rPr>
          <w:b w:val="1"/>
          <w:color w:val="auto"/>
          <w:position w:val="0"/>
          <w:sz w:val="28"/>
          <w:szCs w:val="28"/>
          <w:u w:val="single"/>
          <w:rFonts w:ascii="宋体" w:eastAsia="宋体" w:hAnsi="宋体" w:hint="default"/>
        </w:rPr>
        <w:t>恩施大峡谷旅游开发有限公司</w:t>
      </w:r>
    </w:p>
    <w:p>
      <w:pPr>
        <w:numPr>
          <w:ilvl w:val="0"/>
          <w:numId w:val="0"/>
        </w:numPr>
        <w:jc w:val="left"/>
        <w:spacing w:lineRule="atLeast" w:line="220" w:before="0" w:after="200"/>
        <w:ind w:right="0" w:firstLine="1687"/>
        <w:rPr>
          <w:b w:val="1"/>
          <w:color w:val="auto"/>
          <w:position w:val="0"/>
          <w:sz w:val="28"/>
          <w:szCs w:val="28"/>
          <w:u w:val="single"/>
          <w:rFonts w:ascii="宋体" w:eastAsia="宋体" w:hAnsi="宋体" w:hint="default"/>
        </w:rPr>
        <w:snapToGrid w:val="off"/>
        <w:autoSpaceDE w:val="1"/>
        <w:autoSpaceDN w:val="1"/>
      </w:pPr>
      <w:r>
        <w:rPr>
          <w:b w:val="1"/>
          <w:color w:val="auto"/>
          <w:position w:val="0"/>
          <w:sz w:val="28"/>
          <w:szCs w:val="28"/>
          <w:rFonts w:ascii="宋体" w:eastAsia="宋体" w:hAnsi="宋体" w:hint="default"/>
        </w:rPr>
        <w:t>采购编号：</w:t>
      </w:r>
      <w:r>
        <w:rPr>
          <w:b w:val="1"/>
          <w:color w:val="auto"/>
          <w:position w:val="0"/>
          <w:sz w:val="28"/>
          <w:szCs w:val="28"/>
          <w:u w:val="single"/>
          <w:rFonts w:ascii="宋体" w:eastAsia="宋体" w:hAnsi="宋体" w:hint="default"/>
        </w:rPr>
        <w:t xml:space="preserve">       ESDXG-WX2018006        </w:t>
      </w:r>
    </w:p>
    <w:p>
      <w:pPr>
        <w:numPr>
          <w:ilvl w:val="0"/>
          <w:numId w:val="0"/>
        </w:numPr>
        <w:jc w:val="center"/>
        <w:spacing w:lineRule="atLeast" w:line="220" w:before="0" w:after="200"/>
        <w:ind w:right="0" w:firstLine="0"/>
        <w:rPr>
          <w:b w:val="1"/>
          <w:color w:val="auto"/>
          <w:position w:val="0"/>
          <w:sz w:val="32"/>
          <w:szCs w:val="32"/>
          <w:rFonts w:ascii="仿宋" w:eastAsia="仿宋" w:hAnsi="仿宋" w:hint="default"/>
        </w:rPr>
        <w:snapToGrid w:val="off"/>
        <w:autoSpaceDE w:val="1"/>
        <w:autoSpaceDN w:val="1"/>
      </w:pPr>
      <w:r>
        <w:rPr>
          <w:b w:val="1"/>
          <w:color w:val="auto"/>
          <w:position w:val="0"/>
          <w:sz w:val="32"/>
          <w:szCs w:val="32"/>
          <w:rFonts w:ascii="仿宋" w:eastAsia="仿宋" w:hAnsi="仿宋" w:hint="default"/>
        </w:rPr>
        <w:t xml:space="preserve">       2018年06月</w:t>
      </w: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pStyle w:val="PO27"/>
        <w:numPr>
          <w:ilvl w:val="0"/>
          <w:numId w:val="0"/>
        </w:numPr>
        <w:jc w:val="center"/>
        <w:spacing w:lineRule="auto" w:line="276" w:before="480" w:after="0"/>
        <w:ind w:right="0" w:firstLine="0"/>
        <w:rPr>
          <w:b w:val="1"/>
          <w:color w:val="366091" w:themeColor="accent1" w:themeShade="BF"/>
          <w:position w:val="0"/>
          <w:sz w:val="28"/>
          <w:szCs w:val="28"/>
          <w:rFonts w:ascii="Cambria" w:eastAsia="宋体" w:hAnsi="宋体" w:hint="default"/>
        </w:rPr>
        <w:snapToGrid w:val="on"/>
        <w:autoSpaceDE w:val="1"/>
        <w:autoSpaceDN w:val="1"/>
      </w:pPr>
      <w:r>
        <w:rPr>
          <w:b w:val="1"/>
          <w:color w:val="auto"/>
          <w:position w:val="0"/>
          <w:sz w:val="32"/>
          <w:szCs w:val="32"/>
          <w:rFonts w:ascii="Cambria" w:eastAsia="宋体" w:hAnsi="宋体" w:hint="default"/>
        </w:rPr>
        <w:t xml:space="preserve">目            录</w:t>
      </w:r>
    </w:p>
    <w:p>
      <w:pPr>
        <w:pStyle w:val="PO28"/>
        <w:numPr>
          <w:ilvl w:val="0"/>
          <w:numId w:val="0"/>
        </w:numPr>
        <w:jc w:val="left"/>
        <w:spacing w:lineRule="auto" w:line="240" w:before="0" w:after="200"/>
        <w:ind w:right="0" w:firstLine="0"/>
        <w:tabs>
          <w:tab w:val="right" w:leader="dot" w:pos="8296"/>
        </w:tabs>
        <w:rPr>
          <w:color w:val="auto"/>
          <w:position w:val="0"/>
          <w:sz w:val="21"/>
          <w:szCs w:val="21"/>
          <w:rFonts w:ascii="Calibri" w:eastAsia="宋体" w:hAnsi="宋体" w:hint="default"/>
        </w:rPr>
        <w:snapToGrid w:val="off"/>
        <w:autoSpaceDE w:val="1"/>
        <w:autoSpaceDN w:val="1"/>
      </w:pPr>
      <w:r>
        <w:rPr>
          <w:color w:val="auto"/>
          <w:position w:val="0"/>
          <w:sz w:val="22"/>
          <w:szCs w:val="22"/>
          <w:rFonts w:ascii="Tahoma" w:eastAsia="Tahoma" w:hAnsi="Tahoma" w:hint="default"/>
        </w:rPr>
        <w:fldChar w:fldCharType="begin"/>
      </w:r>
      <w:r>
        <w:instrText> TOC  </w:instrText>
      </w:r>
      <w:r>
        <w:fldChar w:fldCharType="separate"/>
      </w:r>
      <w:hyperlink w:anchor="_Toc504125538">
        <w:r>
          <w:rPr>
            <w:rStyle w:val="PO154"/>
            <w:color w:val="auto"/>
            <w:position w:val="0"/>
            <w:sz w:val="22"/>
            <w:szCs w:val="22"/>
            <w:u w:val="none"/>
            <w:rFonts w:ascii="宋体" w:eastAsia="Tahoma" w:hAnsi="Tahoma" w:hint="default"/>
          </w:rPr>
          <w:t>第一章</w:t>
        </w:r>
        <w:r>
          <w:rPr>
            <w:rStyle w:val="PO154"/>
            <w:color w:val="auto"/>
            <w:position w:val="0"/>
            <w:sz w:val="22"/>
            <w:szCs w:val="22"/>
            <w:u w:val="none"/>
            <w:rFonts w:ascii="宋体" w:eastAsia="宋体" w:hAnsi="宋体" w:hint="default"/>
          </w:rPr>
          <w:t>  </w:t>
        </w:r>
        <w:r>
          <w:rPr>
            <w:rStyle w:val="PO154"/>
            <w:color w:val="auto"/>
            <w:position w:val="0"/>
            <w:sz w:val="22"/>
            <w:szCs w:val="22"/>
            <w:u w:val="none"/>
            <w:rFonts w:ascii="宋体" w:eastAsia="Tahoma" w:hAnsi="Tahoma" w:hint="default"/>
          </w:rPr>
          <w:t>谈判公告</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_Toc504125538 </w:instrText>
        </w:r>
        <w:r>
          <w:instrText> \* MERGEFORMAT</w:instrText>
        </w:r>
        <w:r>
          <w:fldChar w:fldCharType="separate"/>
        </w:r>
        <w:r>
          <w:rPr>
            <w:color w:val="auto"/>
            <w:position w:val="0"/>
            <w:sz w:val="22"/>
            <w:szCs w:val="22"/>
            <w:rFonts w:ascii="Tahoma" w:eastAsia="Tahoma" w:hAnsi="Tahoma" w:hint="default"/>
          </w:rPr>
          <w:t>1</w:t>
        </w:r>
        <w:r>
          <w:rPr>
            <w:color w:val="auto"/>
            <w:position w:val="0"/>
            <w:sz w:val="22"/>
            <w:szCs w:val="22"/>
            <w:rFonts w:ascii="Tahoma" w:eastAsia="Tahoma" w:hAnsi="Tahoma" w:hint="default"/>
          </w:rPr>
          <w:fldChar w:fldCharType="end"/>
        </w:r>
      </w:hyperlink>
    </w:p>
    <w:p>
      <w:pPr>
        <w:pStyle w:val="PO28"/>
        <w:numPr>
          <w:ilvl w:val="0"/>
          <w:numId w:val="0"/>
        </w:numPr>
        <w:jc w:val="left"/>
        <w:spacing w:lineRule="auto" w:line="240" w:before="0" w:after="200"/>
        <w:ind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39">
        <w:r>
          <w:rPr>
            <w:rStyle w:val="PO154"/>
            <w:color w:val="auto"/>
            <w:position w:val="0"/>
            <w:sz w:val="22"/>
            <w:szCs w:val="22"/>
            <w:u w:val="none"/>
            <w:rFonts w:ascii="宋体" w:eastAsia="Tahoma" w:hAnsi="Tahoma" w:hint="default"/>
          </w:rPr>
          <w:t>第二章</w:t>
        </w:r>
        <w:r>
          <w:rPr>
            <w:rStyle w:val="PO154"/>
            <w:color w:val="auto"/>
            <w:position w:val="0"/>
            <w:sz w:val="22"/>
            <w:szCs w:val="22"/>
            <w:u w:val="none"/>
            <w:rFonts w:ascii="宋体" w:eastAsia="宋体" w:hAnsi="宋体" w:hint="default"/>
          </w:rPr>
          <w:t> </w:t>
        </w:r>
        <w:r>
          <w:rPr>
            <w:rStyle w:val="PO154"/>
            <w:color w:val="auto"/>
            <w:position w:val="0"/>
            <w:sz w:val="22"/>
            <w:szCs w:val="22"/>
            <w:u w:val="none"/>
            <w:rFonts w:ascii="宋体" w:eastAsia="Tahoma" w:hAnsi="Tahoma" w:hint="default"/>
          </w:rPr>
          <w:t>投标人须知</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_Toc504125539 </w:instrText>
        </w:r>
        <w:r>
          <w:instrText> \* MERGEFORMAT</w:instrText>
        </w:r>
        <w:r>
          <w:fldChar w:fldCharType="separate"/>
        </w:r>
        <w:r>
          <w:rPr>
            <w:color w:val="auto"/>
            <w:position w:val="0"/>
            <w:sz w:val="22"/>
            <w:szCs w:val="22"/>
            <w:rFonts w:ascii="Tahoma" w:eastAsia="Tahoma" w:hAnsi="Tahoma" w:hint="default"/>
          </w:rPr>
          <w:t>4</w:t>
        </w:r>
        <w:r>
          <w:rPr>
            <w:color w:val="auto"/>
            <w:position w:val="0"/>
            <w:sz w:val="22"/>
            <w:szCs w:val="22"/>
            <w:rFonts w:ascii="Tahoma" w:eastAsia="Tahoma" w:hAnsi="Tahoma" w:hint="default"/>
          </w:rPr>
          <w:fldChar w:fldCharType="end"/>
        </w:r>
      </w:hyperlink>
    </w:p>
    <w:p>
      <w:pPr>
        <w:pStyle w:val="PO28"/>
        <w:numPr>
          <w:ilvl w:val="0"/>
          <w:numId w:val="0"/>
        </w:numPr>
        <w:jc w:val="left"/>
        <w:spacing w:lineRule="auto" w:line="240" w:before="0" w:after="200"/>
        <w:ind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0">
        <w:r>
          <w:rPr>
            <w:rStyle w:val="PO154"/>
            <w:color w:val="auto"/>
            <w:position w:val="0"/>
            <w:sz w:val="22"/>
            <w:szCs w:val="22"/>
            <w:u w:val="none"/>
            <w:rFonts w:ascii="宋体" w:eastAsia="Tahoma" w:hAnsi="Tahoma" w:hint="default"/>
          </w:rPr>
          <w:t>第三章</w:t>
        </w:r>
        <w:r>
          <w:rPr>
            <w:rStyle w:val="PO154"/>
            <w:color w:val="auto"/>
            <w:position w:val="0"/>
            <w:sz w:val="22"/>
            <w:szCs w:val="22"/>
            <w:u w:val="none"/>
            <w:rFonts w:ascii="宋体" w:eastAsia="宋体" w:hAnsi="宋体" w:hint="default"/>
          </w:rPr>
          <w:t> </w:t>
        </w:r>
        <w:r>
          <w:rPr>
            <w:rStyle w:val="PO154"/>
            <w:color w:val="auto"/>
            <w:position w:val="0"/>
            <w:sz w:val="22"/>
            <w:szCs w:val="22"/>
            <w:u w:val="none"/>
            <w:rFonts w:ascii="宋体" w:eastAsia="Tahoma" w:hAnsi="Tahoma" w:hint="default"/>
          </w:rPr>
          <w:t>评标办法（综合评分法）</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_Toc504125540 </w:instrText>
        </w:r>
        <w:r>
          <w:instrText> \* MERGEFORMAT</w:instrText>
        </w:r>
        <w:r>
          <w:fldChar w:fldCharType="separate"/>
        </w:r>
        <w:r>
          <w:rPr>
            <w:color w:val="auto"/>
            <w:position w:val="0"/>
            <w:sz w:val="22"/>
            <w:szCs w:val="22"/>
            <w:rFonts w:ascii="Tahoma" w:eastAsia="Tahoma" w:hAnsi="Tahoma" w:hint="default"/>
          </w:rPr>
          <w:t>13</w:t>
        </w:r>
        <w:r>
          <w:rPr>
            <w:color w:val="auto"/>
            <w:position w:val="0"/>
            <w:sz w:val="22"/>
            <w:szCs w:val="22"/>
            <w:rFonts w:ascii="Tahoma" w:eastAsia="Tahoma" w:hAnsi="Tahoma" w:hint="default"/>
          </w:rPr>
          <w:fldChar w:fldCharType="end"/>
        </w:r>
      </w:hyperlink>
    </w:p>
    <w:p>
      <w:pPr>
        <w:pStyle w:val="PO30"/>
        <w:numPr>
          <w:ilvl w:val="0"/>
          <w:numId w:val="0"/>
        </w:numPr>
        <w:jc w:val="left"/>
        <w:spacing w:lineRule="auto" w:line="240" w:before="0" w:after="200"/>
        <w:ind w:left="880"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1">
        <w:r>
          <w:rPr>
            <w:rStyle w:val="PO154"/>
            <w:color w:val="auto"/>
            <w:position w:val="0"/>
            <w:sz w:val="22"/>
            <w:szCs w:val="22"/>
            <w:u w:val="none"/>
            <w:rFonts w:ascii="宋体" w:eastAsia="宋体" w:hAnsi="宋体" w:hint="default"/>
          </w:rPr>
          <w:t>评标办法前附表</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_Toc504125541 </w:instrText>
        </w:r>
        <w:r>
          <w:instrText> \* MERGEFORMAT</w:instrText>
        </w:r>
        <w:r>
          <w:fldChar w:fldCharType="separate"/>
        </w:r>
        <w:r>
          <w:rPr>
            <w:color w:val="auto"/>
            <w:position w:val="0"/>
            <w:sz w:val="22"/>
            <w:szCs w:val="22"/>
            <w:rFonts w:ascii="Tahoma" w:eastAsia="Tahoma" w:hAnsi="Tahoma" w:hint="default"/>
          </w:rPr>
          <w:t>13</w:t>
        </w:r>
        <w:r>
          <w:rPr>
            <w:color w:val="auto"/>
            <w:position w:val="0"/>
            <w:sz w:val="22"/>
            <w:szCs w:val="22"/>
            <w:rFonts w:ascii="Tahoma" w:eastAsia="Tahoma" w:hAnsi="Tahoma" w:hint="default"/>
          </w:rPr>
          <w:fldChar w:fldCharType="end"/>
        </w:r>
      </w:hyperlink>
    </w:p>
    <w:p>
      <w:pPr>
        <w:pStyle w:val="PO28"/>
        <w:numPr>
          <w:ilvl w:val="0"/>
          <w:numId w:val="0"/>
        </w:numPr>
        <w:jc w:val="left"/>
        <w:spacing w:lineRule="auto" w:line="240" w:before="0" w:after="200"/>
        <w:ind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2">
        <w:r>
          <w:rPr>
            <w:rStyle w:val="PO154"/>
            <w:color w:val="auto"/>
            <w:position w:val="0"/>
            <w:sz w:val="22"/>
            <w:szCs w:val="22"/>
            <w:u w:val="none"/>
            <w:rFonts w:ascii="宋体" w:eastAsia="Tahoma" w:hAnsi="Tahoma" w:hint="default"/>
          </w:rPr>
          <w:t>第四章</w:t>
        </w:r>
        <w:r>
          <w:rPr>
            <w:rStyle w:val="PO154"/>
            <w:color w:val="auto"/>
            <w:position w:val="0"/>
            <w:sz w:val="22"/>
            <w:szCs w:val="22"/>
            <w:u w:val="none"/>
            <w:rFonts w:ascii="宋体" w:eastAsia="宋体" w:hAnsi="宋体" w:hint="default"/>
          </w:rPr>
          <w:t> </w:t>
        </w:r>
        <w:r>
          <w:rPr>
            <w:rStyle w:val="PO154"/>
            <w:color w:val="auto"/>
            <w:position w:val="0"/>
            <w:sz w:val="22"/>
            <w:szCs w:val="22"/>
            <w:u w:val="none"/>
            <w:rFonts w:ascii="宋体" w:eastAsia="Tahoma" w:hAnsi="Tahoma" w:hint="default"/>
          </w:rPr>
          <w:t>合同条款及格式</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_Toc504125542 </w:instrText>
        </w:r>
        <w:r>
          <w:instrText> \* MERGEFORMAT</w:instrText>
        </w:r>
        <w:r>
          <w:fldChar w:fldCharType="separate"/>
        </w:r>
        <w:r>
          <w:rPr>
            <w:color w:val="auto"/>
            <w:position w:val="0"/>
            <w:sz w:val="22"/>
            <w:szCs w:val="22"/>
            <w:rFonts w:ascii="Tahoma" w:eastAsia="Tahoma" w:hAnsi="Tahoma" w:hint="default"/>
          </w:rPr>
          <w:t>19</w:t>
        </w:r>
        <w:r>
          <w:rPr>
            <w:color w:val="auto"/>
            <w:position w:val="0"/>
            <w:sz w:val="22"/>
            <w:szCs w:val="22"/>
            <w:rFonts w:ascii="Tahoma" w:eastAsia="Tahoma" w:hAnsi="Tahoma" w:hint="default"/>
          </w:rPr>
          <w:fldChar w:fldCharType="end"/>
        </w:r>
      </w:hyperlink>
    </w:p>
    <w:p>
      <w:pPr>
        <w:pStyle w:val="PO29"/>
        <w:numPr>
          <w:ilvl w:val="0"/>
          <w:numId w:val="0"/>
        </w:numPr>
        <w:jc w:val="left"/>
        <w:spacing w:lineRule="auto" w:line="240" w:before="0" w:after="200"/>
        <w:ind w:left="440"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3">
        <w:r>
          <w:rPr>
            <w:rStyle w:val="PO154"/>
            <w:color w:val="auto"/>
            <w:position w:val="0"/>
            <w:sz w:val="22"/>
            <w:szCs w:val="22"/>
            <w:u w:val="none"/>
            <w:rFonts w:ascii="宋体" w:eastAsia="Tahoma" w:hAnsi="Tahoma" w:hint="default"/>
          </w:rPr>
          <w:t>附件一：湖北省房屋建筑和市政工程建设廉洁协议书</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_Toc504125543 </w:instrText>
        </w:r>
        <w:r>
          <w:instrText> \* MERGEFORMAT</w:instrText>
        </w:r>
        <w:r>
          <w:fldChar w:fldCharType="separate"/>
        </w:r>
        <w:r>
          <w:rPr>
            <w:color w:val="auto"/>
            <w:position w:val="0"/>
            <w:sz w:val="22"/>
            <w:szCs w:val="22"/>
            <w:rFonts w:ascii="Tahoma" w:eastAsia="Tahoma" w:hAnsi="Tahoma" w:hint="default"/>
          </w:rPr>
          <w:t>40</w:t>
        </w:r>
        <w:r>
          <w:rPr>
            <w:color w:val="auto"/>
            <w:position w:val="0"/>
            <w:sz w:val="22"/>
            <w:szCs w:val="22"/>
            <w:rFonts w:ascii="Tahoma" w:eastAsia="Tahoma" w:hAnsi="Tahoma" w:hint="default"/>
          </w:rPr>
          <w:fldChar w:fldCharType="end"/>
        </w:r>
      </w:hyperlink>
    </w:p>
    <w:p>
      <w:pPr>
        <w:pStyle w:val="PO29"/>
        <w:numPr>
          <w:ilvl w:val="0"/>
          <w:numId w:val="0"/>
        </w:numPr>
        <w:jc w:val="left"/>
        <w:spacing w:lineRule="auto" w:line="240" w:before="0" w:after="200"/>
        <w:ind w:left="440"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4">
        <w:r>
          <w:rPr>
            <w:rStyle w:val="PO154"/>
            <w:color w:val="auto"/>
            <w:position w:val="0"/>
            <w:sz w:val="22"/>
            <w:szCs w:val="22"/>
            <w:u w:val="none"/>
            <w:rFonts w:ascii="宋体" w:eastAsia="宋体" w:hAnsi="宋体" w:hint="default"/>
          </w:rPr>
          <w:t>附件二：工程结算资料编制质量要求</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_Toc504125544 </w:instrText>
        </w:r>
        <w:r>
          <w:instrText> \* MERGEFORMAT</w:instrText>
        </w:r>
        <w:r>
          <w:fldChar w:fldCharType="separate"/>
        </w:r>
        <w:r>
          <w:rPr>
            <w:color w:val="auto"/>
            <w:position w:val="0"/>
            <w:sz w:val="22"/>
            <w:szCs w:val="22"/>
            <w:rFonts w:ascii="Tahoma" w:eastAsia="Tahoma" w:hAnsi="Tahoma" w:hint="default"/>
          </w:rPr>
          <w:t>43</w:t>
        </w:r>
        <w:r>
          <w:rPr>
            <w:color w:val="auto"/>
            <w:position w:val="0"/>
            <w:sz w:val="22"/>
            <w:szCs w:val="22"/>
            <w:rFonts w:ascii="Tahoma" w:eastAsia="Tahoma" w:hAnsi="Tahoma" w:hint="default"/>
          </w:rPr>
          <w:fldChar w:fldCharType="end"/>
        </w:r>
      </w:hyperlink>
    </w:p>
    <w:p>
      <w:pPr>
        <w:pStyle w:val="PO28"/>
        <w:numPr>
          <w:ilvl w:val="0"/>
          <w:numId w:val="0"/>
        </w:numPr>
        <w:jc w:val="left"/>
        <w:spacing w:lineRule="auto" w:line="240" w:before="0" w:after="200"/>
        <w:ind w:right="0" w:firstLine="0"/>
        <w:tabs>
          <w:tab w:val="right" w:leader="dot" w:pos="8296"/>
        </w:tabs>
        <w:rPr>
          <w:color w:val="auto"/>
          <w:position w:val="0"/>
          <w:sz w:val="21"/>
          <w:szCs w:val="21"/>
          <w:rFonts w:ascii="Calibri" w:eastAsia="宋体" w:hAnsi="宋体" w:hint="default"/>
        </w:rPr>
        <w:snapToGrid w:val="off"/>
        <w:autoSpaceDE w:val="1"/>
        <w:autoSpaceDN w:val="1"/>
      </w:pPr>
      <w:hyperlink w:anchor="_Toc504125545">
        <w:r>
          <w:rPr>
            <w:rStyle w:val="PO154"/>
            <w:color w:val="auto"/>
            <w:position w:val="0"/>
            <w:sz w:val="22"/>
            <w:szCs w:val="22"/>
            <w:u w:val="none"/>
            <w:rFonts w:ascii="宋体" w:eastAsia="Tahoma" w:hAnsi="Tahoma" w:hint="default"/>
          </w:rPr>
          <w:t>第五章</w:t>
        </w:r>
        <w:r>
          <w:rPr>
            <w:rStyle w:val="PO154"/>
            <w:color w:val="auto"/>
            <w:position w:val="0"/>
            <w:sz w:val="22"/>
            <w:szCs w:val="22"/>
            <w:u w:val="none"/>
            <w:rFonts w:ascii="宋体" w:eastAsia="宋体" w:hAnsi="宋体" w:hint="default"/>
          </w:rPr>
          <w:t>  </w:t>
        </w:r>
        <w:r>
          <w:rPr>
            <w:rStyle w:val="PO154"/>
            <w:color w:val="auto"/>
            <w:position w:val="0"/>
            <w:sz w:val="22"/>
            <w:szCs w:val="22"/>
            <w:u w:val="none"/>
            <w:rFonts w:ascii="宋体" w:eastAsia="Tahoma" w:hAnsi="Tahoma" w:hint="default"/>
          </w:rPr>
          <w:t>谈判响应文件格式</w:t>
        </w:r>
        <w:r>
          <w:rPr>
            <w:color w:val="auto"/>
            <w:position w:val="0"/>
            <w:sz w:val="22"/>
            <w:szCs w:val="22"/>
            <w:rFonts w:ascii="Tahoma" w:eastAsia="Tahoma" w:hAnsi="Tahoma" w:hint="default"/>
          </w:rPr>
          <w:tab/>
        </w:r>
        <w:r>
          <w:rPr>
            <w:color w:val="auto"/>
            <w:position w:val="0"/>
            <w:sz w:val="22"/>
            <w:szCs w:val="22"/>
            <w:rFonts w:ascii="Tahoma" w:eastAsia="Tahoma" w:hAnsi="Tahoma" w:hint="default"/>
          </w:rPr>
          <w:fldChar w:fldCharType="begin"/>
        </w:r>
        <w:r>
          <w:instrText> PAGEREF  _Toc504125545 </w:instrText>
        </w:r>
        <w:r>
          <w:instrText> \* MERGEFORMAT</w:instrText>
        </w:r>
        <w:r>
          <w:fldChar w:fldCharType="separate"/>
        </w:r>
        <w:r>
          <w:rPr>
            <w:color w:val="auto"/>
            <w:position w:val="0"/>
            <w:sz w:val="22"/>
            <w:szCs w:val="22"/>
            <w:rFonts w:ascii="Tahoma" w:eastAsia="Tahoma" w:hAnsi="Tahoma" w:hint="default"/>
          </w:rPr>
          <w:t>44</w:t>
        </w:r>
        <w:r>
          <w:rPr>
            <w:color w:val="auto"/>
            <w:position w:val="0"/>
            <w:sz w:val="22"/>
            <w:szCs w:val="22"/>
            <w:rFonts w:ascii="Tahoma" w:eastAsia="Tahoma" w:hAnsi="Tahoma" w:hint="default"/>
          </w:rPr>
          <w:fldChar w:fldCharType="end"/>
        </w:r>
      </w:hyperlink>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r>
        <w:rPr>
          <w:color w:val="auto"/>
          <w:position w:val="0"/>
          <w:sz w:val="22"/>
          <w:szCs w:val="22"/>
          <w:rFonts w:ascii="Tahoma" w:eastAsia="Tahoma" w:hAnsi="Tahoma" w:hint="default"/>
        </w:rPr>
        <w:fldChar w:fldCharType="end"/>
      </w: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pStyle w:val="PO7"/>
        <w:numPr>
          <w:ilvl w:val="0"/>
          <w:numId w:val="0"/>
        </w:numPr>
        <w:jc w:val="center"/>
        <w:spacing w:lineRule="auto" w:line="576" w:before="340" w:after="330"/>
        <w:ind w:right="0" w:firstLine="0"/>
        <w:rPr>
          <w:b w:val="0"/>
          <w:color w:val="auto"/>
          <w:position w:val="0"/>
          <w:sz w:val="28"/>
          <w:szCs w:val="28"/>
          <w:rFonts w:ascii="宋体" w:eastAsia="宋体" w:hAnsi="宋体" w:hint="default"/>
        </w:rPr>
        <w:outlineLvl w:val="0"/>
        <w:snapToGrid w:val="on"/>
        <w:autoSpaceDE w:val="1"/>
        <w:autoSpaceDN w:val="1"/>
      </w:pPr>
      <w:bookmarkStart w:id="1" w:name="_Toc504125538"/>
      <w:r>
        <w:rPr>
          <w:b w:val="1"/>
          <w:color w:val="auto"/>
          <w:position w:val="0"/>
          <w:sz w:val="28"/>
          <w:szCs w:val="28"/>
          <w:rFonts w:ascii="宋体" w:eastAsia="Times New Roman" w:hAnsi="Times New Roman" w:hint="default"/>
        </w:rPr>
        <w:t xml:space="preserve">第一章  谈判公告</w:t>
      </w:r>
      <w:bookmarkEnd w:id="1"/>
    </w:p>
    <w:p>
      <w:pPr>
        <w:numPr>
          <w:ilvl w:val="0"/>
          <w:numId w:val="0"/>
        </w:numPr>
        <w:jc w:val="center"/>
        <w:spacing w:lineRule="atLeast" w:line="220" w:before="0" w:after="200"/>
        <w:ind w:right="0" w:firstLine="0"/>
        <w:rPr>
          <w:color w:val="auto"/>
          <w:position w:val="0"/>
          <w:sz w:val="32"/>
          <w:szCs w:val="32"/>
          <w:rFonts w:ascii="微软雅黑" w:eastAsia="Times New Roman" w:hAnsi="Times New Roman" w:hint="default"/>
        </w:rPr>
        <w:snapToGrid w:val="off"/>
        <w:autoSpaceDE w:val="1"/>
        <w:autoSpaceDN w:val="1"/>
      </w:pPr>
      <w:r>
        <w:rPr>
          <w:b w:val="1"/>
          <w:color w:val="auto"/>
          <w:position w:val="0"/>
          <w:sz w:val="32"/>
          <w:szCs w:val="32"/>
          <w:rFonts w:ascii="微软雅黑" w:eastAsia="Tahoma" w:hAnsi="Tahoma" w:hint="default"/>
        </w:rPr>
        <w:t>小楼门星级厕所改建工程</w:t>
      </w:r>
    </w:p>
    <w:p>
      <w:pPr>
        <w:numPr>
          <w:ilvl w:val="0"/>
          <w:numId w:val="0"/>
        </w:numPr>
        <w:jc w:val="center"/>
        <w:spacing w:lineRule="atLeast" w:line="220" w:before="0" w:after="200"/>
        <w:ind w:right="0" w:firstLine="0"/>
        <w:rPr>
          <w:b w:val="1"/>
          <w:color w:val="auto"/>
          <w:position w:val="0"/>
          <w:sz w:val="28"/>
          <w:szCs w:val="28"/>
          <w:rFonts w:ascii="宋体" w:eastAsia="Angsana New" w:hAnsi="Angsana New" w:hint="default"/>
        </w:rPr>
        <w:snapToGrid w:val="off"/>
        <w:autoSpaceDE w:val="1"/>
        <w:autoSpaceDN w:val="1"/>
      </w:pPr>
      <w:r>
        <w:rPr>
          <w:color w:val="auto"/>
          <w:position w:val="0"/>
          <w:sz w:val="32"/>
          <w:szCs w:val="32"/>
          <w:rFonts w:ascii="微软雅黑" w:eastAsia="Tahoma" w:hAnsi="Tahoma" w:hint="default"/>
        </w:rPr>
        <w:t>竞争性谈判公告</w:t>
      </w:r>
    </w:p>
    <w:p>
      <w:pPr>
        <w:numPr>
          <w:ilvl w:val="0"/>
          <w:numId w:val="0"/>
        </w:numPr>
        <w:jc w:val="both"/>
        <w:spacing w:lineRule="auto" w:line="360" w:before="0" w:after="0"/>
        <w:ind w:right="0" w:firstLine="600"/>
        <w:rPr>
          <w:color w:val="auto"/>
          <w:position w:val="0"/>
          <w:sz w:val="24"/>
          <w:szCs w:val="24"/>
          <w:u w:val="single"/>
          <w:rFonts w:ascii="仿宋" w:eastAsia="Times New Roman" w:hAnsi="Times New Roman" w:hint="default"/>
        </w:rPr>
        <w:snapToGrid w:val="off"/>
        <w:autoSpaceDE w:val="1"/>
        <w:autoSpaceDN w:val="1"/>
      </w:pP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u w:val="single"/>
          <w:rFonts w:ascii="仿宋" w:eastAsia="仿宋" w:hAnsi="仿宋" w:hint="default"/>
        </w:rPr>
        <w:t>恩施大峡谷旅游开发有限公司</w:t>
      </w:r>
      <w:r>
        <w:rPr>
          <w:color w:val="auto"/>
          <w:position w:val="0"/>
          <w:sz w:val="24"/>
          <w:szCs w:val="24"/>
          <w:rFonts w:ascii="仿宋" w:eastAsia="仿宋" w:hAnsi="仿宋" w:hint="default"/>
        </w:rPr>
        <w:t>拟对</w:t>
      </w:r>
      <w:r>
        <w:rPr>
          <w:color w:val="auto"/>
          <w:position w:val="0"/>
          <w:sz w:val="24"/>
          <w:szCs w:val="24"/>
          <w:u w:val="single"/>
          <w:rFonts w:ascii="仿宋" w:eastAsia="仿宋" w:hAnsi="仿宋" w:hint="default"/>
        </w:rPr>
        <w:t>小楼门星级厕所改建工程</w:t>
      </w:r>
      <w:r>
        <w:rPr>
          <w:color w:val="auto"/>
          <w:position w:val="0"/>
          <w:sz w:val="24"/>
          <w:szCs w:val="24"/>
          <w:rFonts w:ascii="仿宋" w:eastAsia="仿宋" w:hAnsi="仿宋" w:hint="default"/>
        </w:rPr>
        <w:t>施工承包服务进行</w:t>
      </w:r>
      <w:r>
        <w:rPr>
          <w:color w:val="auto"/>
          <w:position w:val="0"/>
          <w:sz w:val="24"/>
          <w:szCs w:val="24"/>
          <w:rFonts w:ascii="仿宋" w:eastAsia="仿宋" w:hAnsi="仿宋" w:hint="default"/>
        </w:rPr>
        <w:t>竞争性谈判，欢迎符合条件的施工单位前来投标。</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1、项目名称：小楼门星级厕所改建工程。</w:t>
      </w:r>
    </w:p>
    <w:p>
      <w:pPr>
        <w:numPr>
          <w:ilvl w:val="0"/>
          <w:numId w:val="0"/>
        </w:numPr>
        <w:jc w:val="left"/>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2、项目概况：本工程位于恩施大峡谷七星寨景区小楼门（详见工程量清单）。</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3、采购编号：ESDXG-WX2018006。</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4、采购方式：竞争性谈判。 </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5、采购内容及投标限价： </w:t>
      </w:r>
    </w:p>
    <w:p>
      <w:pPr>
        <w:numPr>
          <w:ilvl w:val="0"/>
          <w:numId w:val="0"/>
        </w:numPr>
        <w:jc w:val="both"/>
        <w:spacing w:lineRule="auto" w:line="360" w:before="0" w:after="0"/>
        <w:ind w:right="0" w:firstLine="660"/>
        <w:rPr>
          <w:color w:val="auto"/>
          <w:position w:val="0"/>
          <w:sz w:val="24"/>
          <w:szCs w:val="24"/>
          <w:rFonts w:ascii="仿宋" w:eastAsia="Times New Roman" w:hAnsi="Times New Roman" w:hint="default"/>
        </w:rPr>
        <w:snapToGrid w:val="off"/>
        <w:autoSpaceDE w:val="1"/>
        <w:autoSpaceDN w:val="1"/>
      </w:pPr>
      <w:r>
        <w:rPr>
          <w:color w:val="auto"/>
          <w:position w:val="0"/>
          <w:sz w:val="22"/>
          <w:szCs w:val="22"/>
          <w:rFonts w:ascii="仿宋" w:eastAsia="仿宋" w:hAnsi="仿宋" w:hint="default"/>
        </w:rPr>
        <w:t>5.1采购内容：</w:t>
      </w:r>
      <w:r>
        <w:rPr>
          <w:color w:val="auto"/>
          <w:position w:val="0"/>
          <w:sz w:val="24"/>
          <w:szCs w:val="24"/>
          <w:rFonts w:ascii="仿宋" w:eastAsia="仿宋" w:hAnsi="仿宋" w:hint="default"/>
        </w:rPr>
        <w:t>小楼门星级厕所改建工程施工承包服务。</w:t>
      </w:r>
    </w:p>
    <w:p>
      <w:pPr>
        <w:numPr>
          <w:ilvl w:val="0"/>
          <w:numId w:val="0"/>
        </w:numPr>
        <w:jc w:val="both"/>
        <w:spacing w:lineRule="auto" w:line="360" w:before="0" w:after="0"/>
        <w:ind w:right="0" w:firstLine="602"/>
        <w:rPr>
          <w:b w:val="1"/>
          <w:color w:val="FF0000"/>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5.2投标限价：</w:t>
      </w:r>
      <w:r>
        <w:rPr>
          <w:b w:val="1"/>
          <w:color w:val="FF0000"/>
          <w:position w:val="0"/>
          <w:sz w:val="24"/>
          <w:szCs w:val="24"/>
          <w:rFonts w:ascii="仿宋" w:eastAsia="仿宋" w:hAnsi="仿宋" w:hint="default"/>
        </w:rPr>
        <w:t>伍拾陆万零柒佰贰拾贰元玖角肆分（￥560722.94元）（最高</w:t>
      </w:r>
      <w:r>
        <w:rPr>
          <w:b w:val="1"/>
          <w:color w:val="FF0000"/>
          <w:position w:val="0"/>
          <w:sz w:val="24"/>
          <w:szCs w:val="24"/>
          <w:rFonts w:ascii="仿宋" w:eastAsia="仿宋" w:hAnsi="仿宋" w:hint="default"/>
        </w:rPr>
        <w:t xml:space="preserve">限价）。 </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6、计划工期：</w:t>
      </w:r>
      <w:r>
        <w:rPr>
          <w:color w:val="FF0000"/>
          <w:position w:val="0"/>
          <w:sz w:val="24"/>
          <w:szCs w:val="24"/>
          <w:rFonts w:ascii="仿宋" w:eastAsia="仿宋" w:hAnsi="仿宋" w:hint="default"/>
        </w:rPr>
        <w:t>70日历天</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7、投标人资格条件 </w:t>
      </w:r>
    </w:p>
    <w:p>
      <w:pPr>
        <w:numPr>
          <w:ilvl w:val="0"/>
          <w:numId w:val="0"/>
        </w:numPr>
        <w:jc w:val="both"/>
        <w:spacing w:lineRule="auto" w:line="360" w:before="0" w:after="0"/>
        <w:ind w:right="0" w:firstLine="60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7.1本次谈判要求投标人同时具备以下条件: </w:t>
      </w:r>
    </w:p>
    <w:p>
      <w:pPr>
        <w:numPr>
          <w:ilvl w:val="0"/>
          <w:numId w:val="0"/>
        </w:numPr>
        <w:jc w:val="both"/>
        <w:spacing w:lineRule="auto" w:line="360" w:before="0" w:after="0"/>
        <w:ind w:right="0" w:firstLine="602"/>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（1）符合《政府采购法》第二十二条规定的投标人资格条件； </w:t>
      </w:r>
    </w:p>
    <w:p>
      <w:pPr>
        <w:numPr>
          <w:ilvl w:val="0"/>
          <w:numId w:val="0"/>
        </w:numPr>
        <w:jc w:val="both"/>
        <w:spacing w:lineRule="auto" w:line="360" w:before="0" w:after="0"/>
        <w:ind w:right="0" w:firstLine="602"/>
        <w:rPr>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（2）具有建设行政主管部门核发的房屋建筑工程总承包三级及以上资质，并</w:t>
      </w:r>
      <w:r>
        <w:rPr>
          <w:b w:val="1"/>
          <w:color w:val="auto"/>
          <w:position w:val="0"/>
          <w:sz w:val="24"/>
          <w:szCs w:val="24"/>
          <w:rFonts w:ascii="仿宋" w:eastAsia="仿宋" w:hAnsi="仿宋" w:hint="default"/>
        </w:rPr>
        <w:t>在人员、设备、资金等方面具有相应的施工能力；</w:t>
      </w:r>
    </w:p>
    <w:p>
      <w:pPr>
        <w:numPr>
          <w:ilvl w:val="0"/>
          <w:numId w:val="0"/>
        </w:numPr>
        <w:jc w:val="both"/>
        <w:spacing w:lineRule="auto" w:line="360" w:before="0" w:after="0"/>
        <w:ind w:right="0" w:firstLine="602"/>
        <w:rPr>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（3）近三年内（投标截止日前推36个月）至今独立承担过至少一项类似工程</w:t>
      </w:r>
      <w:r>
        <w:rPr>
          <w:b w:val="1"/>
          <w:color w:val="auto"/>
          <w:position w:val="0"/>
          <w:sz w:val="24"/>
          <w:szCs w:val="24"/>
          <w:rFonts w:ascii="仿宋" w:eastAsia="仿宋" w:hAnsi="仿宋" w:hint="default"/>
        </w:rPr>
        <w:t>施工项目（新建或维修项目亦可）；</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（4）项目负责人应具备房屋建筑工程二级建造师及以上资格证书，且为本单</w:t>
      </w:r>
      <w:r>
        <w:rPr>
          <w:b w:val="1"/>
          <w:color w:val="auto"/>
          <w:position w:val="0"/>
          <w:sz w:val="24"/>
          <w:szCs w:val="24"/>
          <w:rFonts w:ascii="仿宋" w:eastAsia="仿宋" w:hAnsi="仿宋" w:hint="default"/>
        </w:rPr>
        <w:t xml:space="preserve">位人员；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（5）投标人提供近三年（2015年、2016年、2017年，企业成立不足三年的根</w:t>
      </w:r>
      <w:r>
        <w:rPr>
          <w:b w:val="1"/>
          <w:color w:val="auto"/>
          <w:position w:val="0"/>
          <w:sz w:val="24"/>
          <w:szCs w:val="24"/>
          <w:rFonts w:ascii="仿宋" w:eastAsia="仿宋" w:hAnsi="仿宋" w:hint="default"/>
        </w:rPr>
        <w:t>据实际情况提供）经会计师事务所或审计机构审计的财务会计报表，并未发生亏损；</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（6）投标人及其法定代表人和拟派的项目负责人近三年内无犯罪记录（自法</w:t>
      </w:r>
      <w:r>
        <w:rPr>
          <w:b w:val="1"/>
          <w:color w:val="auto"/>
          <w:position w:val="0"/>
          <w:sz w:val="24"/>
          <w:szCs w:val="24"/>
          <w:rFonts w:ascii="仿宋" w:eastAsia="仿宋" w:hAnsi="仿宋" w:hint="default"/>
        </w:rPr>
        <w:t>院判决生效之日起至本次采购谈判公告发布之日止三年内，要求在开标时提供《检</w:t>
      </w:r>
      <w:r>
        <w:rPr>
          <w:b w:val="1"/>
          <w:color w:val="auto"/>
          <w:position w:val="0"/>
          <w:sz w:val="24"/>
          <w:szCs w:val="24"/>
          <w:rFonts w:ascii="仿宋" w:eastAsia="仿宋" w:hAnsi="仿宋" w:hint="default"/>
        </w:rPr>
        <w:t>查机关行贿犯罪档案查询结果告知函》原件，并在谈判响应文件其它资料中提供复</w:t>
      </w:r>
      <w:r>
        <w:rPr>
          <w:b w:val="1"/>
          <w:color w:val="auto"/>
          <w:position w:val="0"/>
          <w:sz w:val="24"/>
          <w:szCs w:val="24"/>
          <w:rFonts w:ascii="仿宋" w:eastAsia="仿宋" w:hAnsi="仿宋" w:hint="default"/>
        </w:rPr>
        <w:t xml:space="preserve">印件）； </w:t>
      </w:r>
    </w:p>
    <w:p>
      <w:pPr>
        <w:numPr>
          <w:ilvl w:val="0"/>
          <w:numId w:val="0"/>
        </w:numPr>
        <w:jc w:val="both"/>
        <w:spacing w:lineRule="auto" w:line="360" w:before="0" w:after="0"/>
        <w:ind w:right="0" w:firstLine="602"/>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（7）投标人在参加投标活动前三年内，在经营活动中没有重大违法记录（提</w:t>
      </w:r>
      <w:r>
        <w:rPr>
          <w:b w:val="1"/>
          <w:color w:val="auto"/>
          <w:position w:val="0"/>
          <w:sz w:val="24"/>
          <w:szCs w:val="24"/>
          <w:rFonts w:ascii="仿宋" w:eastAsia="仿宋" w:hAnsi="仿宋" w:hint="default"/>
        </w:rPr>
        <w:t>供书面声明）；没有不良行为记录（提供全国建筑市场监管公共服务平台查询记录</w:t>
      </w:r>
      <w:r>
        <w:rPr>
          <w:b w:val="1"/>
          <w:color w:val="auto"/>
          <w:position w:val="0"/>
          <w:sz w:val="24"/>
          <w:szCs w:val="24"/>
          <w:rFonts w:ascii="仿宋" w:eastAsia="仿宋" w:hAnsi="仿宋" w:hint="default"/>
        </w:rPr>
        <w:t>截图和信用中国查询截图）；</w:t>
      </w:r>
    </w:p>
    <w:p>
      <w:pPr>
        <w:numPr>
          <w:ilvl w:val="0"/>
          <w:numId w:val="0"/>
        </w:numPr>
        <w:jc w:val="left"/>
        <w:spacing w:lineRule="auto" w:line="360" w:before="0" w:after="0"/>
        <w:ind w:right="0" w:firstLine="48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（8）根据《关于落实&lt;恩施州建设领域劳动者工资支付保障实施方法&gt;相关规</w:t>
      </w:r>
      <w:r>
        <w:rPr>
          <w:b w:val="1"/>
          <w:color w:val="auto"/>
          <w:position w:val="0"/>
          <w:sz w:val="24"/>
          <w:szCs w:val="24"/>
          <w:rFonts w:ascii="仿宋" w:eastAsia="仿宋" w:hAnsi="仿宋" w:hint="default"/>
        </w:rPr>
        <w:t>定的意见》的补充通知（恩施州人社函[2017]35号文的规定，投标人自投标文件递</w:t>
      </w:r>
      <w:r>
        <w:rPr>
          <w:b w:val="1"/>
          <w:color w:val="auto"/>
          <w:position w:val="0"/>
          <w:sz w:val="24"/>
          <w:szCs w:val="24"/>
          <w:rFonts w:ascii="仿宋" w:eastAsia="仿宋" w:hAnsi="仿宋" w:hint="default"/>
        </w:rPr>
        <w:t>交截止时，未出现因非法拖欠劳动者工资而受到行政处理处罚且在行政处理处罚期</w:t>
      </w:r>
      <w:r>
        <w:rPr>
          <w:b w:val="1"/>
          <w:color w:val="auto"/>
          <w:position w:val="0"/>
          <w:sz w:val="24"/>
          <w:szCs w:val="24"/>
          <w:rFonts w:ascii="仿宋" w:eastAsia="仿宋" w:hAnsi="仿宋" w:hint="default"/>
        </w:rPr>
        <w:t>限内的或因拖欠劳动者工资经人民法院判决且未执行完毕的或未自觉履行完毕的情</w:t>
      </w:r>
      <w:r>
        <w:rPr>
          <w:b w:val="1"/>
          <w:color w:val="auto"/>
          <w:position w:val="0"/>
          <w:sz w:val="24"/>
          <w:szCs w:val="24"/>
          <w:rFonts w:ascii="仿宋" w:eastAsia="仿宋" w:hAnsi="仿宋" w:hint="default"/>
        </w:rPr>
        <w:t>形（投标人应作出承诺，否则投标人的竞标将被拒绝）。</w:t>
      </w:r>
    </w:p>
    <w:p>
      <w:pPr>
        <w:numPr>
          <w:ilvl w:val="0"/>
          <w:numId w:val="0"/>
        </w:numPr>
        <w:jc w:val="both"/>
        <w:spacing w:lineRule="auto" w:line="360" w:before="0" w:after="0"/>
        <w:ind w:right="0" w:firstLine="56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7.2本次谈判不接受联合体投标。 </w:t>
      </w:r>
    </w:p>
    <w:p>
      <w:pPr>
        <w:numPr>
          <w:ilvl w:val="0"/>
          <w:numId w:val="0"/>
        </w:numPr>
        <w:jc w:val="both"/>
        <w:spacing w:lineRule="auto" w:line="360" w:before="0" w:after="0"/>
        <w:ind w:right="0" w:firstLine="56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8、资格预审及报名方式</w:t>
      </w:r>
    </w:p>
    <w:p>
      <w:pPr>
        <w:numPr>
          <w:ilvl w:val="0"/>
          <w:numId w:val="0"/>
        </w:numPr>
        <w:jc w:val="both"/>
        <w:spacing w:lineRule="auto" w:line="360" w:before="0" w:after="0"/>
        <w:ind w:right="0" w:firstLine="56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8.1资格预审须携带以下资料</w:t>
      </w:r>
    </w:p>
    <w:p>
      <w:pPr>
        <w:numPr>
          <w:ilvl w:val="0"/>
          <w:numId w:val="0"/>
        </w:numPr>
        <w:jc w:val="both"/>
        <w:spacing w:lineRule="auto" w:line="360" w:before="0" w:after="0"/>
        <w:ind w:right="0" w:firstLine="80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（1）满足第7.1条中规定的加盖企业公章鲜章的企业资质证书和营业执照</w:t>
      </w:r>
      <w:r>
        <w:rPr>
          <w:color w:val="auto"/>
          <w:position w:val="0"/>
          <w:sz w:val="24"/>
          <w:szCs w:val="24"/>
          <w:rFonts w:ascii="仿宋" w:eastAsia="仿宋" w:hAnsi="仿宋" w:hint="default"/>
        </w:rPr>
        <w:t>复印件（开标时提供原件）；</w:t>
      </w:r>
    </w:p>
    <w:p>
      <w:pPr>
        <w:numPr>
          <w:ilvl w:val="0"/>
          <w:numId w:val="0"/>
        </w:numPr>
        <w:jc w:val="both"/>
        <w:spacing w:lineRule="auto" w:line="360" w:before="0" w:after="0"/>
        <w:ind w:right="0" w:firstLine="80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（2）项目负责人房屋建筑工程二级建造师及以上资格注册证书及安全考核</w:t>
      </w:r>
      <w:r>
        <w:rPr>
          <w:color w:val="auto"/>
          <w:position w:val="0"/>
          <w:sz w:val="24"/>
          <w:szCs w:val="24"/>
          <w:rFonts w:ascii="仿宋" w:eastAsia="仿宋" w:hAnsi="仿宋" w:hint="default"/>
        </w:rPr>
        <w:t>合格证书B证复印件（开标时提供原件。项目负责人必须是本单位注册人员）；</w:t>
      </w:r>
    </w:p>
    <w:p>
      <w:pPr>
        <w:numPr>
          <w:ilvl w:val="0"/>
          <w:numId w:val="0"/>
        </w:numPr>
        <w:jc w:val="both"/>
        <w:spacing w:lineRule="auto" w:line="360" w:before="0" w:after="0"/>
        <w:ind w:right="0" w:firstLine="806"/>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（3）法定代表人授权委托书。</w:t>
      </w:r>
    </w:p>
    <w:p>
      <w:pPr>
        <w:numPr>
          <w:ilvl w:val="0"/>
          <w:numId w:val="0"/>
        </w:numPr>
        <w:jc w:val="both"/>
        <w:spacing w:lineRule="auto" w:line="360" w:before="0" w:after="0"/>
        <w:ind w:right="0" w:firstLine="465"/>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8.2报名方式</w:t>
      </w:r>
    </w:p>
    <w:p>
      <w:pPr>
        <w:numPr>
          <w:ilvl w:val="0"/>
          <w:numId w:val="0"/>
        </w:numPr>
        <w:jc w:val="both"/>
        <w:spacing w:lineRule="auto" w:line="360" w:before="0" w:after="0"/>
        <w:ind w:right="0" w:firstLine="465"/>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意向投标人携带第7.1条规定的资料到采购人指定的报名地点领取《投标单位</w:t>
      </w:r>
      <w:r>
        <w:rPr>
          <w:color w:val="auto"/>
          <w:position w:val="0"/>
          <w:sz w:val="24"/>
          <w:szCs w:val="24"/>
          <w:rFonts w:ascii="仿宋" w:eastAsia="仿宋" w:hAnsi="仿宋" w:hint="default"/>
        </w:rPr>
        <w:t>报名表》登记报名并接受资格预审（未报名的投标无效）。</w:t>
      </w:r>
    </w:p>
    <w:p>
      <w:pPr>
        <w:numPr>
          <w:ilvl w:val="0"/>
          <w:numId w:val="0"/>
        </w:numPr>
        <w:jc w:val="both"/>
        <w:spacing w:lineRule="auto" w:line="360" w:before="0" w:after="0"/>
        <w:ind w:right="0" w:firstLine="465"/>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9、报名截止时间</w:t>
      </w:r>
    </w:p>
    <w:p>
      <w:pPr>
        <w:numPr>
          <w:ilvl w:val="0"/>
          <w:numId w:val="0"/>
        </w:numPr>
        <w:jc w:val="both"/>
        <w:spacing w:lineRule="auto" w:line="360" w:before="0" w:after="0"/>
        <w:ind w:right="0" w:firstLine="465"/>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报名截止时间：</w:t>
      </w:r>
      <w:r>
        <w:rPr>
          <w:b w:val="1"/>
          <w:color w:val="FF0000"/>
          <w:position w:val="0"/>
          <w:sz w:val="24"/>
          <w:szCs w:val="24"/>
          <w:rFonts w:ascii="仿宋" w:eastAsia="仿宋" w:hAnsi="仿宋" w:hint="default"/>
        </w:rPr>
        <w:t>2018年06月18日12时30分</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10、谈判文件获取方式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10.1谈判文件及招标工程量清单获取方式：网上下载；</w:t>
      </w:r>
    </w:p>
    <w:p>
      <w:pPr>
        <w:numPr>
          <w:ilvl w:val="0"/>
          <w:numId w:val="0"/>
        </w:numPr>
        <w:jc w:val="both"/>
        <w:spacing w:lineRule="auto" w:line="360" w:before="0" w:after="0"/>
        <w:ind w:left="560" w:right="0" w:hanging="12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10.2 施工图获取方式：投标人报名时提供电子邮箱，由发包人发于该邮箱。</w:t>
      </w:r>
    </w:p>
    <w:p>
      <w:pPr>
        <w:numPr>
          <w:ilvl w:val="0"/>
          <w:numId w:val="0"/>
        </w:numPr>
        <w:jc w:val="both"/>
        <w:spacing w:lineRule="auto" w:line="360" w:before="0" w:after="0"/>
        <w:ind w:left="560" w:right="0" w:hanging="12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11、投标截止时间、开标时间和地点： </w:t>
      </w:r>
    </w:p>
    <w:p>
      <w:pPr>
        <w:numPr>
          <w:ilvl w:val="0"/>
          <w:numId w:val="0"/>
        </w:numPr>
        <w:jc w:val="both"/>
        <w:spacing w:lineRule="auto" w:line="360" w:before="0" w:after="0"/>
        <w:ind w:right="0" w:firstLine="0"/>
        <w:rPr>
          <w:color w:val="FF0000"/>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投标截止时间及开标时间：</w:t>
      </w:r>
      <w:r>
        <w:rPr>
          <w:b w:val="1"/>
          <w:color w:val="FF0000"/>
          <w:position w:val="0"/>
          <w:sz w:val="24"/>
          <w:szCs w:val="24"/>
          <w:rFonts w:ascii="仿宋" w:eastAsia="仿宋" w:hAnsi="仿宋" w:hint="default"/>
        </w:rPr>
        <w:t>2018年06月21日14时30分</w:t>
      </w:r>
      <w:r>
        <w:rPr>
          <w:color w:val="FF0000"/>
          <w:position w:val="0"/>
          <w:sz w:val="24"/>
          <w:szCs w:val="24"/>
          <w:rFonts w:ascii="仿宋" w:eastAsia="仿宋" w:hAnsi="仿宋" w:hint="default"/>
        </w:rPr>
        <w:t>；</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投标报名地点、响应文件递交地点及开标地点：湖北省恩施市大峡谷风景区管</w:t>
      </w:r>
      <w:r>
        <w:rPr>
          <w:b w:val="1"/>
          <w:color w:val="auto"/>
          <w:position w:val="0"/>
          <w:sz w:val="24"/>
          <w:szCs w:val="24"/>
          <w:rFonts w:ascii="仿宋" w:eastAsia="仿宋" w:hAnsi="仿宋" w:hint="default"/>
        </w:rPr>
        <w:t>理处大峡谷旅游开发有限公司维修保障部。</w:t>
      </w: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12、联系方式： </w:t>
      </w: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采购人：恩施大峡谷旅游开发有限公司 </w:t>
      </w: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联系人：李女士   联系电话： 0718-8788682</w:t>
      </w: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center"/>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numPr>
          <w:ilvl w:val="0"/>
          <w:numId w:val="0"/>
        </w:numPr>
        <w:jc w:val="left"/>
        <w:spacing w:lineRule="exact" w:line="500" w:before="0" w:after="200"/>
        <w:ind w:right="0" w:firstLine="0"/>
        <w:rPr>
          <w:b w:val="1"/>
          <w:color w:val="auto"/>
          <w:position w:val="0"/>
          <w:sz w:val="32"/>
          <w:szCs w:val="32"/>
          <w:rFonts w:ascii="仿宋" w:eastAsia="Times New Roman" w:hAnsi="Times New Roman" w:hint="default"/>
        </w:rPr>
        <w:snapToGrid w:val="off"/>
        <w:autoSpaceDE w:val="1"/>
        <w:autoSpaceDN w:val="1"/>
      </w:pPr>
    </w:p>
    <w:p>
      <w:pPr>
        <w:pStyle w:val="PO7"/>
        <w:numPr>
          <w:ilvl w:val="0"/>
          <w:numId w:val="0"/>
        </w:numPr>
        <w:jc w:val="center"/>
        <w:spacing w:lineRule="auto" w:line="576" w:before="340" w:after="330"/>
        <w:ind w:right="0" w:firstLine="0"/>
        <w:rPr>
          <w:b w:val="0"/>
          <w:color w:val="auto"/>
          <w:position w:val="0"/>
          <w:sz w:val="28"/>
          <w:szCs w:val="28"/>
          <w:rFonts w:ascii="宋体" w:eastAsia="宋体" w:hAnsi="宋体" w:hint="default"/>
        </w:rPr>
        <w:outlineLvl w:val="0"/>
        <w:snapToGrid w:val="on"/>
        <w:autoSpaceDE w:val="1"/>
        <w:autoSpaceDN w:val="1"/>
      </w:pPr>
      <w:bookmarkStart w:id="2" w:name="_Toc504125539"/>
      <w:r>
        <w:rPr>
          <w:b w:val="1"/>
          <w:color w:val="auto"/>
          <w:position w:val="0"/>
          <w:sz w:val="28"/>
          <w:szCs w:val="28"/>
          <w:rFonts w:ascii="宋体" w:eastAsia="Times New Roman" w:hAnsi="Times New Roman" w:hint="default"/>
        </w:rPr>
        <w:t xml:space="preserve">第二章 投标人须知</w:t>
      </w:r>
      <w:bookmarkEnd w:id="2"/>
    </w:p>
    <w:p>
      <w:pPr>
        <w:numPr>
          <w:ilvl w:val="0"/>
          <w:numId w:val="0"/>
        </w:numPr>
        <w:jc w:val="center"/>
        <w:spacing w:lineRule="exact" w:line="500" w:before="0" w:after="20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投标人须知前附表</w:t>
      </w:r>
    </w:p>
    <w:tb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8522" w:type="dxa"/>
        <w:tblLook w:val="0004A0" w:firstRow="1" w:lastRow="0" w:firstColumn="1" w:lastColumn="0" w:noHBand="0" w:noVBand="1"/>
        <w:tblLayout w:type="fixed"/>
      </w:tblPr>
      <w:tblGrid>
        <w:gridCol w:w="685"/>
        <w:gridCol w:w="7837"/>
      </w:tblGrid>
      <w:tr>
        <w:trPr/>
        <w:tc>
          <w:tcPr>
            <w:tcW w:type="dxa" w:w="685"/>
            <w:vAlign w:val="center"/>
            <w:tcBorders>
              <w:left w:val="single" w:color="auto" w:sz="12"/>
              <w:top w:val="single" w:color="auto" w:sz="12"/>
            </w:tcBorders>
          </w:tcPr>
          <w:p>
            <w:pPr>
              <w:numPr>
                <w:ilvl w:val="0"/>
                <w:numId w:val="0"/>
              </w:numPr>
              <w:jc w:val="center"/>
              <w:spacing w:lineRule="exact" w:line="400" w:before="0" w:after="20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项</w:t>
            </w:r>
            <w:r>
              <w:rPr>
                <w:b w:val="1"/>
                <w:color w:val="auto"/>
                <w:position w:val="0"/>
                <w:sz w:val="24"/>
                <w:szCs w:val="24"/>
                <w:rFonts w:ascii="仿宋" w:eastAsia="仿宋" w:hAnsi="仿宋" w:hint="default"/>
              </w:rPr>
              <w:t>号</w:t>
            </w:r>
          </w:p>
        </w:tc>
        <w:tc>
          <w:tcPr>
            <w:tcW w:type="dxa" w:w="7837"/>
            <w:vAlign w:val="center"/>
            <w:tcBorders>
              <w:right w:val="single" w:color="auto" w:sz="12"/>
              <w:top w:val="single" w:color="auto" w:sz="12"/>
            </w:tcBorders>
          </w:tcPr>
          <w:p>
            <w:pPr>
              <w:numPr>
                <w:ilvl w:val="0"/>
                <w:numId w:val="0"/>
              </w:numPr>
              <w:jc w:val="center"/>
              <w:spacing w:lineRule="exact" w:line="400" w:before="0" w:after="20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 xml:space="preserve">内  容  规  定</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w:t>
            </w:r>
          </w:p>
        </w:tc>
        <w:tc>
          <w:tcPr>
            <w:tcW w:type="dxa" w:w="7837"/>
            <w:vAlign w:val="top"/>
            <w:tcBorders>
              <w:right w:val="single" w:color="auto" w:sz="12"/>
            </w:tcBorders>
          </w:tcPr>
          <w:p>
            <w:pPr>
              <w:numPr>
                <w:ilvl w:val="0"/>
                <w:numId w:val="0"/>
              </w:numPr>
              <w:jc w:val="both"/>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工程名称：</w:t>
            </w:r>
            <w:r>
              <w:rPr>
                <w:color w:val="auto"/>
                <w:position w:val="0"/>
                <w:sz w:val="24"/>
                <w:szCs w:val="24"/>
                <w:rFonts w:ascii="仿宋" w:eastAsia="仿宋" w:hAnsi="仿宋" w:hint="default"/>
              </w:rPr>
              <w:t>小楼门星级厕所改建工程。</w:t>
            </w:r>
          </w:p>
          <w:p>
            <w:pPr>
              <w:numPr>
                <w:ilvl w:val="0"/>
                <w:numId w:val="0"/>
              </w:numPr>
              <w:jc w:val="both"/>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建设地点：</w:t>
            </w:r>
            <w:r>
              <w:rPr>
                <w:color w:val="auto"/>
                <w:position w:val="0"/>
                <w:sz w:val="24"/>
                <w:szCs w:val="24"/>
                <w:rFonts w:ascii="仿宋" w:eastAsia="仿宋" w:hAnsi="仿宋" w:hint="default"/>
              </w:rPr>
              <w:t>恩施市大峡谷景区内</w:t>
            </w:r>
          </w:p>
          <w:p>
            <w:pPr>
              <w:numPr>
                <w:ilvl w:val="0"/>
                <w:numId w:val="0"/>
              </w:numPr>
              <w:jc w:val="both"/>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建设规模：</w:t>
            </w:r>
            <w:r>
              <w:rPr>
                <w:color w:val="auto"/>
                <w:position w:val="0"/>
                <w:sz w:val="24"/>
                <w:szCs w:val="24"/>
                <w:rFonts w:ascii="仿宋" w:eastAsia="仿宋" w:hAnsi="仿宋" w:hint="default"/>
              </w:rPr>
              <w:t>详见设计文件</w:t>
            </w:r>
          </w:p>
          <w:p>
            <w:pPr>
              <w:numPr>
                <w:ilvl w:val="0"/>
                <w:numId w:val="0"/>
              </w:numPr>
              <w:jc w:val="both"/>
              <w:spacing w:lineRule="exact" w:line="400" w:before="0" w:after="0"/>
              <w:ind w:right="0" w:firstLine="0"/>
              <w:rPr>
                <w:color w:val="FF0000"/>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合同形式：</w:t>
            </w:r>
            <w:r>
              <w:rPr>
                <w:color w:val="auto"/>
                <w:position w:val="0"/>
                <w:sz w:val="24"/>
                <w:szCs w:val="24"/>
                <w:rFonts w:ascii="仿宋" w:eastAsia="仿宋" w:hAnsi="仿宋" w:hint="default"/>
              </w:rPr>
              <w:t xml:space="preserve">固定单价合同       </w:t>
            </w:r>
            <w:r>
              <w:rPr>
                <w:color w:val="FF0000"/>
                <w:position w:val="0"/>
                <w:sz w:val="24"/>
                <w:szCs w:val="24"/>
                <w:rFonts w:ascii="仿宋" w:eastAsia="仿宋" w:hAnsi="仿宋" w:hint="default"/>
              </w:rPr>
              <w:t xml:space="preserve">  </w:t>
            </w:r>
          </w:p>
        </w:tc>
      </w:tr>
      <w:tr>
        <w:trPr>
          <w:trHeight w:hRule="atleast" w:val="572"/>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2</w:t>
            </w:r>
          </w:p>
        </w:tc>
        <w:tc>
          <w:tcPr>
            <w:tcW w:type="dxa" w:w="7837"/>
            <w:vAlign w:val="center"/>
            <w:tcBorders>
              <w:right w:val="single" w:color="auto" w:sz="12"/>
            </w:tcBorders>
          </w:tcPr>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采购人：</w:t>
            </w:r>
            <w:r>
              <w:rPr>
                <w:color w:val="auto"/>
                <w:position w:val="0"/>
                <w:sz w:val="24"/>
                <w:szCs w:val="24"/>
                <w:rFonts w:ascii="仿宋" w:eastAsia="仿宋" w:hAnsi="仿宋" w:hint="default"/>
              </w:rPr>
              <w:t xml:space="preserve">恩施大峡谷旅游开发有限公司 </w:t>
            </w:r>
          </w:p>
        </w:tc>
      </w:tr>
      <w:tr>
        <w:trPr>
          <w:trHeight w:hRule="atleast" w:val="484"/>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3</w:t>
            </w:r>
          </w:p>
        </w:tc>
        <w:tc>
          <w:tcPr>
            <w:tcW w:type="dxa" w:w="7837"/>
            <w:vAlign w:val="center"/>
            <w:tcBorders>
              <w:right w:val="single" w:color="auto" w:sz="12"/>
            </w:tcBorders>
          </w:tcPr>
          <w:p>
            <w:pPr>
              <w:numPr>
                <w:ilvl w:val="0"/>
                <w:numId w:val="0"/>
              </w:numPr>
              <w:jc w:val="both"/>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工程质量要求：</w:t>
            </w:r>
            <w:r>
              <w:rPr>
                <w:color w:val="auto"/>
                <w:position w:val="0"/>
                <w:sz w:val="24"/>
                <w:szCs w:val="24"/>
                <w:rFonts w:ascii="仿宋" w:eastAsia="仿宋" w:hAnsi="仿宋" w:hint="default"/>
              </w:rPr>
              <w:t>按照国家相关验收规范要求，一次性验收合格。</w:t>
            </w:r>
          </w:p>
        </w:tc>
      </w:tr>
      <w:tr>
        <w:trPr>
          <w:trHeight w:hRule="atleast" w:val="484"/>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4</w:t>
            </w:r>
          </w:p>
        </w:tc>
        <w:tc>
          <w:tcPr>
            <w:tcW w:type="dxa" w:w="7837"/>
            <w:vAlign w:val="center"/>
            <w:tcBorders>
              <w:right w:val="single" w:color="auto" w:sz="12"/>
            </w:tcBorders>
          </w:tcPr>
          <w:p>
            <w:pPr>
              <w:numPr>
                <w:ilvl w:val="0"/>
                <w:numId w:val="0"/>
              </w:numPr>
              <w:jc w:val="both"/>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工期要求：</w:t>
            </w:r>
            <w:r>
              <w:rPr>
                <w:color w:val="FF0000"/>
                <w:position w:val="0"/>
                <w:sz w:val="24"/>
                <w:szCs w:val="24"/>
                <w:u w:val="single"/>
                <w:rFonts w:ascii="仿宋" w:eastAsia="仿宋" w:hAnsi="仿宋" w:hint="default"/>
              </w:rPr>
              <w:t>70</w:t>
            </w:r>
            <w:r>
              <w:rPr>
                <w:color w:val="FF0000"/>
                <w:position w:val="0"/>
                <w:sz w:val="24"/>
                <w:szCs w:val="24"/>
                <w:rFonts w:ascii="仿宋" w:eastAsia="仿宋" w:hAnsi="仿宋" w:hint="default"/>
              </w:rPr>
              <w:t>日历天</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5</w:t>
            </w:r>
          </w:p>
        </w:tc>
        <w:tc>
          <w:tcPr>
            <w:tcW w:type="dxa" w:w="7837"/>
            <w:vAlign w:val="top"/>
            <w:tcBorders>
              <w:right w:val="single" w:color="auto" w:sz="12"/>
            </w:tcBorders>
          </w:tcPr>
          <w:p>
            <w:pPr>
              <w:numPr>
                <w:ilvl w:val="0"/>
                <w:numId w:val="0"/>
              </w:numPr>
              <w:jc w:val="left"/>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投标人资格条件：</w:t>
            </w:r>
            <w:r>
              <w:rPr>
                <w:color w:val="auto"/>
                <w:position w:val="0"/>
                <w:sz w:val="24"/>
                <w:szCs w:val="24"/>
                <w:rFonts w:ascii="仿宋" w:eastAsia="仿宋" w:hAnsi="仿宋" w:hint="default"/>
              </w:rPr>
              <w:t>详见谈判公告第7条。其中：“近三年至今独立承担</w:t>
            </w:r>
            <w:r>
              <w:rPr>
                <w:color w:val="auto"/>
                <w:position w:val="0"/>
                <w:sz w:val="24"/>
                <w:szCs w:val="24"/>
                <w:rFonts w:ascii="仿宋" w:eastAsia="仿宋" w:hAnsi="仿宋" w:hint="default"/>
              </w:rPr>
              <w:t>过类似工程项目”，要求在开标会上提供合同原件，并在响应文件“商</w:t>
            </w:r>
            <w:r>
              <w:rPr>
                <w:color w:val="auto"/>
                <w:position w:val="0"/>
                <w:sz w:val="24"/>
                <w:szCs w:val="24"/>
                <w:rFonts w:ascii="仿宋" w:eastAsia="仿宋" w:hAnsi="仿宋" w:hint="default"/>
              </w:rPr>
              <w:t>务文件”“证明投标人合格的资格文件”中提供合同复印件，不符合上</w:t>
            </w:r>
            <w:r>
              <w:rPr>
                <w:color w:val="auto"/>
                <w:position w:val="0"/>
                <w:sz w:val="24"/>
                <w:szCs w:val="24"/>
                <w:rFonts w:ascii="仿宋" w:eastAsia="仿宋" w:hAnsi="仿宋" w:hint="default"/>
              </w:rPr>
              <w:t>述要求的，将视为资格审查不合格。</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6</w:t>
            </w:r>
          </w:p>
        </w:tc>
        <w:tc>
          <w:tcPr>
            <w:tcW w:type="dxa" w:w="7837"/>
            <w:vAlign w:val="top"/>
            <w:tcBorders>
              <w:right w:val="single" w:color="auto" w:sz="12"/>
            </w:tcBorders>
          </w:tcPr>
          <w:p>
            <w:pPr>
              <w:numPr>
                <w:ilvl w:val="0"/>
                <w:numId w:val="0"/>
              </w:numPr>
              <w:jc w:val="left"/>
              <w:spacing w:lineRule="exact" w:line="400" w:before="0" w:after="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投标报价及费用：</w:t>
            </w:r>
          </w:p>
          <w:p>
            <w:pPr>
              <w:numPr>
                <w:ilvl w:val="0"/>
                <w:numId w:val="0"/>
              </w:numPr>
              <w:jc w:val="left"/>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（1）本项目投标以人民币报价。</w:t>
            </w:r>
          </w:p>
          <w:p>
            <w:pPr>
              <w:numPr>
                <w:ilvl w:val="0"/>
                <w:numId w:val="0"/>
              </w:numPr>
              <w:jc w:val="left"/>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（2）不论投标结果如何，投标人均应自行承担所有与投标有关的全部费</w:t>
            </w:r>
            <w:r>
              <w:rPr>
                <w:color w:val="auto"/>
                <w:position w:val="0"/>
                <w:sz w:val="24"/>
                <w:szCs w:val="24"/>
                <w:rFonts w:ascii="仿宋" w:eastAsia="仿宋" w:hAnsi="仿宋" w:hint="default"/>
              </w:rPr>
              <w:t>用。</w:t>
            </w:r>
          </w:p>
          <w:p>
            <w:pPr>
              <w:numPr>
                <w:ilvl w:val="0"/>
                <w:numId w:val="0"/>
              </w:numPr>
              <w:jc w:val="left"/>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（3）投标人应充分考虑项目实际情况，结合施工图自主报价。</w:t>
            </w:r>
          </w:p>
          <w:p>
            <w:pPr>
              <w:numPr>
                <w:ilvl w:val="0"/>
                <w:numId w:val="0"/>
              </w:numPr>
              <w:jc w:val="left"/>
              <w:spacing w:lineRule="exact" w:line="40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（4）投标报价中不得有明显的不平衡报价，签订合同前，中标人必须无</w:t>
            </w:r>
            <w:r>
              <w:rPr>
                <w:color w:val="auto"/>
                <w:position w:val="0"/>
                <w:sz w:val="24"/>
                <w:szCs w:val="24"/>
                <w:rFonts w:ascii="仿宋" w:eastAsia="仿宋" w:hAnsi="仿宋" w:hint="default"/>
              </w:rPr>
              <w:t>条件接受招标人组织的清标工作。</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7</w:t>
            </w:r>
          </w:p>
        </w:tc>
        <w:tc>
          <w:tcPr>
            <w:tcW w:type="dxa" w:w="7837"/>
            <w:vAlign w:val="top"/>
            <w:tcBorders>
              <w:right w:val="single" w:color="auto" w:sz="12"/>
            </w:tcBorders>
          </w:tcPr>
          <w:p>
            <w:pPr>
              <w:numPr>
                <w:ilvl w:val="0"/>
                <w:numId w:val="0"/>
              </w:numPr>
              <w:jc w:val="left"/>
              <w:spacing w:lineRule="exact" w:line="500" w:before="0" w:after="200"/>
              <w:ind w:right="0" w:firstLine="0"/>
              <w:rPr>
                <w:b w:val="1"/>
                <w:color w:val="FF0000"/>
                <w:position w:val="0"/>
                <w:sz w:val="24"/>
                <w:szCs w:val="24"/>
                <w:rFonts w:ascii="仿宋" w:eastAsia="Times New Roman" w:hAnsi="Times New Roman" w:hint="default"/>
              </w:rPr>
              <w:snapToGrid w:val="off"/>
              <w:autoSpaceDE w:val="1"/>
              <w:autoSpaceDN w:val="1"/>
            </w:pPr>
            <w:r>
              <w:rPr>
                <w:b w:val="1"/>
                <w:color w:val="FF0000"/>
                <w:position w:val="0"/>
                <w:sz w:val="24"/>
                <w:szCs w:val="24"/>
                <w:rFonts w:ascii="仿宋" w:eastAsia="仿宋" w:hAnsi="仿宋" w:hint="default"/>
              </w:rPr>
              <w:t>伍拾陆万零柒佰贰拾贰元玖角肆分（￥560722.94元）（最高限价）</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8</w:t>
            </w:r>
          </w:p>
        </w:tc>
        <w:tc>
          <w:tcPr>
            <w:tcW w:type="dxa" w:w="7837"/>
            <w:vAlign w:val="top"/>
            <w:tcBorders>
              <w:right w:val="single" w:color="auto" w:sz="12"/>
            </w:tcBorders>
          </w:tcPr>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现场踏勘：</w:t>
            </w:r>
            <w:r>
              <w:rPr>
                <w:color w:val="auto"/>
                <w:position w:val="0"/>
                <w:sz w:val="24"/>
                <w:szCs w:val="24"/>
                <w:rFonts w:ascii="仿宋" w:eastAsia="仿宋" w:hAnsi="仿宋" w:hint="default"/>
              </w:rPr>
              <w:t>采购人向投标人提供的有关图纸资料和数据，是采购单位现</w:t>
            </w:r>
            <w:r>
              <w:rPr>
                <w:color w:val="auto"/>
                <w:position w:val="0"/>
                <w:sz w:val="24"/>
                <w:szCs w:val="24"/>
                <w:rFonts w:ascii="仿宋" w:eastAsia="仿宋" w:hAnsi="仿宋" w:hint="default"/>
              </w:rPr>
              <w:t>有的能使投标人使用的资料，采购人对投标人由此做出的推论、理解、</w:t>
            </w:r>
            <w:r>
              <w:rPr>
                <w:color w:val="auto"/>
                <w:position w:val="0"/>
                <w:sz w:val="24"/>
                <w:szCs w:val="24"/>
                <w:rFonts w:ascii="仿宋" w:eastAsia="仿宋" w:hAnsi="仿宋" w:hint="default"/>
              </w:rPr>
              <w:t>和结论概不负责。投标人应自行对项目现场及周围环境进行踏勘，以便获</w:t>
            </w:r>
            <w:r>
              <w:rPr>
                <w:color w:val="auto"/>
                <w:position w:val="0"/>
                <w:sz w:val="24"/>
                <w:szCs w:val="24"/>
                <w:rFonts w:ascii="仿宋" w:eastAsia="仿宋" w:hAnsi="仿宋" w:hint="default"/>
              </w:rPr>
              <w:t>取有关编制响应文件和签署合同所需的所有资料。</w:t>
            </w:r>
          </w:p>
          <w:p>
            <w:pPr>
              <w:numPr>
                <w:ilvl w:val="0"/>
                <w:numId w:val="0"/>
              </w:numPr>
              <w:jc w:val="left"/>
              <w:spacing w:lineRule="auto" w:line="360" w:before="0" w:after="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现场联系人：</w:t>
            </w:r>
            <w:r>
              <w:rPr>
                <w:color w:val="auto"/>
                <w:position w:val="0"/>
                <w:sz w:val="24"/>
                <w:szCs w:val="24"/>
                <w:rFonts w:ascii="仿宋" w:eastAsia="仿宋" w:hAnsi="仿宋" w:hint="default"/>
              </w:rPr>
              <w:t xml:space="preserve">苏经理    15671533767</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9</w:t>
            </w:r>
          </w:p>
        </w:tc>
        <w:tc>
          <w:tcPr>
            <w:tcW w:type="dxa" w:w="7837"/>
            <w:vAlign w:val="top"/>
            <w:tcBorders>
              <w:right w:val="single" w:color="auto" w:sz="12"/>
            </w:tcBorders>
          </w:tcPr>
          <w:p>
            <w:pPr>
              <w:numPr>
                <w:ilvl w:val="0"/>
                <w:numId w:val="0"/>
              </w:numPr>
              <w:jc w:val="left"/>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投标人提出疑问的截止时间：</w:t>
            </w:r>
            <w:r>
              <w:rPr>
                <w:b w:val="1"/>
                <w:color w:val="FF0000"/>
                <w:position w:val="0"/>
                <w:sz w:val="24"/>
                <w:szCs w:val="24"/>
                <w:rFonts w:ascii="仿宋" w:eastAsia="仿宋" w:hAnsi="仿宋" w:hint="default"/>
              </w:rPr>
              <w:t>2018年06月</w:t>
            </w:r>
            <w:r>
              <w:rPr>
                <w:b w:val="1"/>
                <w:color w:val="FF0000"/>
                <w:position w:val="0"/>
                <w:sz w:val="24"/>
                <w:szCs w:val="24"/>
                <w:rFonts w:ascii="仿宋" w:eastAsia="Times New Roman" w:hAnsi="Times New Roman" w:hint="default"/>
              </w:rPr>
              <w:t>19</w:t>
            </w:r>
            <w:r>
              <w:rPr>
                <w:b w:val="1"/>
                <w:color w:val="FF0000"/>
                <w:position w:val="0"/>
                <w:sz w:val="24"/>
                <w:szCs w:val="24"/>
                <w:rFonts w:ascii="仿宋" w:eastAsia="仿宋" w:hAnsi="仿宋" w:hint="default"/>
              </w:rPr>
              <w:t>日17时30分。</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10</w:t>
            </w:r>
          </w:p>
        </w:tc>
        <w:tc>
          <w:tcPr>
            <w:tcW w:type="dxa" w:w="7837"/>
            <w:vAlign w:val="top"/>
            <w:tcBorders>
              <w:right w:val="single" w:color="auto" w:sz="12"/>
            </w:tcBorders>
          </w:tcPr>
          <w:p>
            <w:pPr>
              <w:numPr>
                <w:ilvl w:val="0"/>
                <w:numId w:val="0"/>
              </w:numPr>
              <w:jc w:val="left"/>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谈判文件的补充、修改、澄清的截止时间：</w:t>
            </w:r>
            <w:r>
              <w:rPr>
                <w:b w:val="1"/>
                <w:color w:val="FF0000"/>
                <w:position w:val="0"/>
                <w:sz w:val="24"/>
                <w:szCs w:val="24"/>
                <w:rFonts w:ascii="仿宋" w:eastAsia="仿宋" w:hAnsi="仿宋" w:hint="default"/>
              </w:rPr>
              <w:t>2018年06月21日14时30分</w:t>
            </w:r>
            <w:r>
              <w:rPr>
                <w:b w:val="1"/>
                <w:color w:val="auto"/>
                <w:position w:val="0"/>
                <w:sz w:val="24"/>
                <w:szCs w:val="24"/>
                <w:rFonts w:ascii="仿宋" w:eastAsia="仿宋" w:hAnsi="仿宋" w:hint="default"/>
              </w:rPr>
              <w:t>。</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11</w:t>
            </w:r>
          </w:p>
        </w:tc>
        <w:tc>
          <w:tcPr>
            <w:tcW w:type="dxa" w:w="7837"/>
            <w:vAlign w:val="top"/>
            <w:tcBorders>
              <w:right w:val="single" w:color="auto" w:sz="12"/>
            </w:tcBorders>
          </w:tcPr>
          <w:p>
            <w:pPr>
              <w:numPr>
                <w:ilvl w:val="0"/>
                <w:numId w:val="0"/>
              </w:numPr>
              <w:jc w:val="left"/>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响应文件组成：</w:t>
            </w:r>
            <w:r>
              <w:rPr>
                <w:color w:val="auto"/>
                <w:position w:val="0"/>
                <w:sz w:val="24"/>
                <w:szCs w:val="24"/>
                <w:rFonts w:ascii="仿宋" w:eastAsia="仿宋" w:hAnsi="仿宋" w:hint="default"/>
              </w:rPr>
              <w:t>响应文件由商务文件、技术文件和报价文件组成（装订成</w:t>
            </w:r>
            <w:r>
              <w:rPr>
                <w:color w:val="auto"/>
                <w:position w:val="0"/>
                <w:sz w:val="24"/>
                <w:szCs w:val="24"/>
                <w:rFonts w:ascii="仿宋" w:eastAsia="仿宋" w:hAnsi="仿宋" w:hint="default"/>
              </w:rPr>
              <w:t>一册）。响应文件一式伍份（正本壹份，副本肆份）。</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12</w:t>
            </w:r>
          </w:p>
        </w:tc>
        <w:tc>
          <w:tcPr>
            <w:tcW w:type="dxa" w:w="7837"/>
            <w:vAlign w:val="top"/>
            <w:tcBorders>
              <w:right w:val="single" w:color="auto" w:sz="12"/>
            </w:tcBorders>
          </w:tcPr>
          <w:p>
            <w:pPr>
              <w:numPr>
                <w:ilvl w:val="0"/>
                <w:numId w:val="0"/>
              </w:numPr>
              <w:jc w:val="left"/>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投标有效期：投标截止日起60日。</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13</w:t>
            </w:r>
          </w:p>
        </w:tc>
        <w:tc>
          <w:tcPr>
            <w:tcW w:type="dxa" w:w="7837"/>
            <w:vAlign w:val="top"/>
            <w:tcBorders>
              <w:right w:val="single" w:color="auto" w:sz="12"/>
            </w:tcBorders>
          </w:tcPr>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投标截止时间：详见谈判公告。</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响应文件递交地点：详见谈判公告。</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14</w:t>
            </w:r>
          </w:p>
        </w:tc>
        <w:tc>
          <w:tcPr>
            <w:tcW w:type="dxa" w:w="7837"/>
            <w:vAlign w:val="top"/>
            <w:tcBorders>
              <w:right w:val="single" w:color="auto" w:sz="12"/>
            </w:tcBorders>
          </w:tcPr>
          <w:p>
            <w:pPr>
              <w:numPr>
                <w:ilvl w:val="0"/>
                <w:numId w:val="0"/>
              </w:numPr>
              <w:jc w:val="left"/>
              <w:spacing w:lineRule="exact" w:line="500" w:before="0" w:after="200"/>
              <w:ind w:right="0" w:firstLine="0"/>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响应文件递交截止时间：</w:t>
            </w:r>
            <w:r>
              <w:rPr>
                <w:b w:val="1"/>
                <w:color w:val="FF0000"/>
                <w:position w:val="0"/>
                <w:sz w:val="24"/>
                <w:szCs w:val="24"/>
                <w:rFonts w:ascii="仿宋" w:eastAsia="仿宋" w:hAnsi="仿宋" w:hint="default"/>
              </w:rPr>
              <w:t>2018年06月21日14时30分。</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15</w:t>
            </w:r>
          </w:p>
        </w:tc>
        <w:tc>
          <w:tcPr>
            <w:tcW w:type="dxa" w:w="7837"/>
            <w:vAlign w:val="top"/>
            <w:tcBorders>
              <w:right w:val="single" w:color="auto" w:sz="12"/>
            </w:tcBorders>
          </w:tcPr>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开标时间：详见谈判公告。</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开标地点：详见谈判公告。</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16</w:t>
            </w:r>
          </w:p>
        </w:tc>
        <w:tc>
          <w:tcPr>
            <w:tcW w:type="dxa" w:w="7837"/>
            <w:vAlign w:val="top"/>
            <w:tcBorders>
              <w:right w:val="single" w:color="auto" w:sz="12"/>
            </w:tcBorders>
          </w:tcPr>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原件携带要求：</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1.</w:t>
            </w:r>
            <w:r>
              <w:rPr>
                <w:color w:val="auto"/>
                <w:position w:val="0"/>
                <w:sz w:val="24"/>
                <w:szCs w:val="24"/>
                <w:rFonts w:ascii="仿宋" w:eastAsia="仿宋" w:hAnsi="仿宋" w:hint="default"/>
              </w:rPr>
              <w:t>投标人应在开标会现场提交下列资格证明材料：</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1.1</w:t>
            </w:r>
            <w:r>
              <w:rPr>
                <w:color w:val="auto"/>
                <w:position w:val="0"/>
                <w:sz w:val="24"/>
                <w:szCs w:val="24"/>
                <w:rFonts w:ascii="仿宋" w:eastAsia="仿宋" w:hAnsi="仿宋" w:hint="default"/>
              </w:rPr>
              <w:t>有效的企业法人营业执照副本或事业单位法人证书副本，均为原</w:t>
            </w:r>
            <w:r>
              <w:rPr>
                <w:color w:val="auto"/>
                <w:position w:val="0"/>
                <w:sz w:val="24"/>
                <w:szCs w:val="24"/>
                <w:rFonts w:ascii="仿宋" w:eastAsia="仿宋" w:hAnsi="仿宋" w:hint="default"/>
              </w:rPr>
              <w:t>件；</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1.2</w:t>
            </w:r>
            <w:r>
              <w:rPr>
                <w:color w:val="auto"/>
                <w:position w:val="0"/>
                <w:sz w:val="24"/>
                <w:szCs w:val="24"/>
                <w:rFonts w:ascii="仿宋" w:eastAsia="仿宋" w:hAnsi="仿宋" w:hint="default"/>
              </w:rPr>
              <w:t>建设行政主管部门核发的房屋建筑工程总承包三级及以上资质证</w:t>
            </w:r>
            <w:r>
              <w:rPr>
                <w:color w:val="auto"/>
                <w:position w:val="0"/>
                <w:sz w:val="24"/>
                <w:szCs w:val="24"/>
                <w:rFonts w:ascii="仿宋" w:eastAsia="仿宋" w:hAnsi="仿宋" w:hint="default"/>
              </w:rPr>
              <w:t>书，均为原件；</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 xml:space="preserve">1.3 </w:t>
            </w:r>
            <w:r>
              <w:rPr>
                <w:color w:val="auto"/>
                <w:position w:val="0"/>
                <w:sz w:val="24"/>
                <w:szCs w:val="24"/>
                <w:rFonts w:ascii="仿宋" w:eastAsia="仿宋" w:hAnsi="仿宋" w:hint="default"/>
              </w:rPr>
              <w:t>投标人资格条件中要求的类似业绩：近三年至今独立承担过类</w:t>
            </w:r>
            <w:r>
              <w:rPr>
                <w:color w:val="auto"/>
                <w:position w:val="0"/>
                <w:sz w:val="24"/>
                <w:szCs w:val="24"/>
                <w:rFonts w:ascii="仿宋" w:eastAsia="仿宋" w:hAnsi="仿宋" w:hint="default"/>
              </w:rPr>
              <w:t>似工程项目的合同书原件；</w:t>
            </w:r>
          </w:p>
          <w:p>
            <w:pPr>
              <w:numPr>
                <w:ilvl w:val="0"/>
                <w:numId w:val="0"/>
              </w:numPr>
              <w:jc w:val="left"/>
              <w:spacing w:lineRule="auto" w:line="360" w:before="0" w:after="0"/>
              <w:ind w:right="0" w:firstLine="468"/>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Times New Roman" w:hAnsi="Times New Roman" w:hint="default"/>
              </w:rPr>
              <w:t>1.4</w:t>
            </w:r>
            <w:r>
              <w:rPr>
                <w:color w:val="auto"/>
                <w:position w:val="0"/>
                <w:sz w:val="24"/>
                <w:szCs w:val="24"/>
                <w:rFonts w:ascii="仿宋" w:eastAsia="仿宋" w:hAnsi="仿宋" w:hint="default"/>
              </w:rPr>
              <w:t>项目负责人房屋建筑工程二级建造师及以上注册证书原件；</w:t>
            </w:r>
          </w:p>
          <w:p>
            <w:pPr>
              <w:numPr>
                <w:ilvl w:val="0"/>
                <w:numId w:val="0"/>
              </w:numPr>
              <w:jc w:val="left"/>
              <w:spacing w:lineRule="auto" w:line="360" w:before="0" w:after="0"/>
              <w:ind w:right="0" w:firstLine="468"/>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1.5近三年财务审计报告（2015、2016、2017年，企业成立不足三</w:t>
            </w:r>
            <w:r>
              <w:rPr>
                <w:color w:val="auto"/>
                <w:position w:val="0"/>
                <w:sz w:val="24"/>
                <w:szCs w:val="24"/>
                <w:rFonts w:ascii="仿宋" w:eastAsia="仿宋" w:hAnsi="仿宋" w:hint="default"/>
              </w:rPr>
              <w:t>年的根据实际情况提供）；</w:t>
            </w:r>
          </w:p>
          <w:p>
            <w:pPr>
              <w:numPr>
                <w:ilvl w:val="0"/>
                <w:numId w:val="0"/>
              </w:numPr>
              <w:jc w:val="left"/>
              <w:spacing w:lineRule="auto" w:line="360" w:before="0" w:after="0"/>
              <w:ind w:right="0" w:firstLine="468"/>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1.6《检查机关行贿犯罪档案查询结果告知函》；</w:t>
            </w:r>
          </w:p>
          <w:p>
            <w:pPr>
              <w:numPr>
                <w:ilvl w:val="0"/>
                <w:numId w:val="0"/>
              </w:numPr>
              <w:jc w:val="left"/>
              <w:spacing w:lineRule="auto" w:line="360" w:before="0" w:after="0"/>
              <w:ind w:right="0" w:firstLine="468"/>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1.7投标人在参加投标活动前三年内，在经营活动中没有重大违法记</w:t>
            </w:r>
            <w:r>
              <w:rPr>
                <w:color w:val="auto"/>
                <w:position w:val="0"/>
                <w:sz w:val="24"/>
                <w:szCs w:val="24"/>
                <w:rFonts w:ascii="仿宋" w:eastAsia="仿宋" w:hAnsi="仿宋" w:hint="default"/>
              </w:rPr>
              <w:t>录（提供书面声明）；没有不良行为记录（提供全国建筑市场监管公共</w:t>
            </w:r>
            <w:r>
              <w:rPr>
                <w:color w:val="auto"/>
                <w:position w:val="0"/>
                <w:sz w:val="24"/>
                <w:szCs w:val="24"/>
                <w:rFonts w:ascii="仿宋" w:eastAsia="仿宋" w:hAnsi="仿宋" w:hint="default"/>
              </w:rPr>
              <w:t>服务平台查询记录截图和信用中国查询截图）；</w:t>
            </w:r>
          </w:p>
          <w:p>
            <w:pPr>
              <w:numPr>
                <w:ilvl w:val="0"/>
                <w:numId w:val="0"/>
              </w:numPr>
              <w:jc w:val="left"/>
              <w:spacing w:lineRule="auto" w:line="360" w:before="0" w:after="0"/>
              <w:ind w:right="0" w:firstLine="468"/>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1.8不拖欠农民工工资承诺书；</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1.</w:t>
            </w:r>
            <w:r>
              <w:rPr>
                <w:color w:val="auto"/>
                <w:position w:val="0"/>
                <w:sz w:val="24"/>
                <w:szCs w:val="24"/>
                <w:rFonts w:ascii="仿宋" w:eastAsia="仿宋" w:hAnsi="仿宋" w:hint="default"/>
              </w:rPr>
              <w:t>9法定代表人授权委托书（法定代表人授权他人参加开标会的情形</w:t>
            </w:r>
            <w:r>
              <w:rPr>
                <w:color w:val="auto"/>
                <w:position w:val="0"/>
                <w:sz w:val="24"/>
                <w:szCs w:val="24"/>
                <w:rFonts w:ascii="仿宋" w:eastAsia="仿宋" w:hAnsi="仿宋" w:hint="default"/>
              </w:rPr>
              <w:t>须提供）、法定代表人或其委托代理人的身份证件，均为原件；</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以上证明材料应由投标人的法定代表人或其委托代理人在开标会现</w:t>
            </w:r>
            <w:r>
              <w:rPr>
                <w:color w:val="auto"/>
                <w:position w:val="0"/>
                <w:sz w:val="24"/>
                <w:szCs w:val="24"/>
                <w:rFonts w:ascii="仿宋" w:eastAsia="仿宋" w:hAnsi="仿宋" w:hint="default"/>
              </w:rPr>
              <w:t>场、资格证明材料原件递交给评标委员会进行资格性审查前提交，没有提</w:t>
            </w:r>
            <w:r>
              <w:rPr>
                <w:color w:val="auto"/>
                <w:position w:val="0"/>
                <w:sz w:val="24"/>
                <w:szCs w:val="24"/>
                <w:rFonts w:ascii="仿宋" w:eastAsia="仿宋" w:hAnsi="仿宋" w:hint="default"/>
              </w:rPr>
              <w:t>交、逾期提交或提交不齐全的，在评审时将被视为无效投标；原件装订在</w:t>
            </w:r>
            <w:r>
              <w:rPr>
                <w:color w:val="auto"/>
                <w:position w:val="0"/>
                <w:sz w:val="24"/>
                <w:szCs w:val="24"/>
                <w:rFonts w:ascii="仿宋" w:eastAsia="仿宋" w:hAnsi="仿宋" w:hint="default"/>
              </w:rPr>
              <w:t>响应文件中的，视同已在开标现场提交。以下情形下在开标现场提供下</w:t>
            </w:r>
            <w:r>
              <w:rPr>
                <w:color w:val="auto"/>
                <w:position w:val="0"/>
                <w:sz w:val="24"/>
                <w:szCs w:val="24"/>
                <w:rFonts w:ascii="仿宋" w:eastAsia="仿宋" w:hAnsi="仿宋" w:hint="default"/>
              </w:rPr>
              <w:t>列证明文件将被视为与提供原件相同的效力：</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w:t>
            </w:r>
            <w:r>
              <w:rPr>
                <w:color w:val="auto"/>
                <w:position w:val="0"/>
                <w:sz w:val="24"/>
                <w:szCs w:val="24"/>
                <w:rFonts w:ascii="仿宋" w:eastAsia="Times New Roman" w:hAnsi="Times New Roman" w:hint="default"/>
              </w:rPr>
              <w:t>1</w:t>
            </w:r>
            <w:r>
              <w:rPr>
                <w:color w:val="auto"/>
                <w:position w:val="0"/>
                <w:sz w:val="24"/>
                <w:szCs w:val="24"/>
                <w:rFonts w:ascii="仿宋" w:eastAsia="仿宋" w:hAnsi="仿宋" w:hint="default"/>
              </w:rPr>
              <w:t>）公证机关的公证书原件（应当提供证件的主要信息）；</w:t>
            </w:r>
          </w:p>
          <w:p>
            <w:pPr>
              <w:numPr>
                <w:ilvl w:val="0"/>
                <w:numId w:val="0"/>
              </w:numPr>
              <w:jc w:val="left"/>
              <w:spacing w:lineRule="auto" w:line="360" w:before="0" w:after="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   （2）证件原件办理年审、换证、遗失或其他客观情形不能携带至现</w:t>
            </w:r>
            <w:r>
              <w:rPr>
                <w:color w:val="auto"/>
                <w:position w:val="0"/>
                <w:sz w:val="24"/>
                <w:szCs w:val="24"/>
                <w:rFonts w:ascii="仿宋" w:eastAsia="仿宋" w:hAnsi="仿宋" w:hint="default"/>
              </w:rPr>
              <w:t>场的，提供发证机关的证明材料原件，证明材料中应当注明证件的主要</w:t>
            </w:r>
            <w:r>
              <w:rPr>
                <w:color w:val="auto"/>
                <w:position w:val="0"/>
                <w:sz w:val="24"/>
                <w:szCs w:val="24"/>
                <w:rFonts w:ascii="仿宋" w:eastAsia="仿宋" w:hAnsi="仿宋" w:hint="default"/>
              </w:rPr>
              <w:t>信息。</w:t>
            </w:r>
          </w:p>
          <w:p>
            <w:pPr>
              <w:numPr>
                <w:ilvl w:val="0"/>
                <w:numId w:val="0"/>
              </w:numPr>
              <w:jc w:val="left"/>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Times New Roman" w:hAnsi="Times New Roman" w:hint="default"/>
              </w:rPr>
              <w:t xml:space="preserve">2. </w:t>
            </w:r>
            <w:r>
              <w:rPr>
                <w:color w:val="auto"/>
                <w:position w:val="0"/>
                <w:sz w:val="24"/>
                <w:szCs w:val="24"/>
                <w:rFonts w:ascii="仿宋" w:eastAsia="仿宋" w:hAnsi="仿宋" w:hint="default"/>
              </w:rPr>
              <w:t>上述第</w:t>
            </w:r>
            <w:r>
              <w:rPr>
                <w:color w:val="auto"/>
                <w:position w:val="0"/>
                <w:sz w:val="24"/>
                <w:szCs w:val="24"/>
                <w:rFonts w:ascii="仿宋" w:eastAsia="Times New Roman" w:hAnsi="Times New Roman" w:hint="default"/>
              </w:rPr>
              <w:t>1</w:t>
            </w:r>
            <w:r>
              <w:rPr>
                <w:color w:val="auto"/>
                <w:position w:val="0"/>
                <w:sz w:val="24"/>
                <w:szCs w:val="24"/>
                <w:rFonts w:ascii="仿宋" w:eastAsia="仿宋" w:hAnsi="仿宋" w:hint="default"/>
              </w:rPr>
              <w:t>条所指的材料中：法定代表人授权委托书由监督人员进</w:t>
            </w:r>
            <w:r>
              <w:rPr>
                <w:color w:val="auto"/>
                <w:position w:val="0"/>
                <w:sz w:val="24"/>
                <w:szCs w:val="24"/>
                <w:rFonts w:ascii="仿宋" w:eastAsia="仿宋" w:hAnsi="仿宋" w:hint="default"/>
              </w:rPr>
              <w:t>行初审并与身份证件核对后，身份证件退还投标人代表，其余材料将由</w:t>
            </w:r>
            <w:r>
              <w:rPr>
                <w:color w:val="auto"/>
                <w:position w:val="0"/>
                <w:sz w:val="24"/>
                <w:szCs w:val="24"/>
                <w:rFonts w:ascii="仿宋" w:eastAsia="仿宋" w:hAnsi="仿宋" w:hint="default"/>
              </w:rPr>
              <w:t>评标委员会进行详细审查后退还给投标人（法定代表人授权委托书原件</w:t>
            </w:r>
            <w:r>
              <w:rPr>
                <w:color w:val="auto"/>
                <w:position w:val="0"/>
                <w:sz w:val="24"/>
                <w:szCs w:val="24"/>
                <w:rFonts w:ascii="仿宋" w:eastAsia="仿宋" w:hAnsi="仿宋" w:hint="default"/>
              </w:rPr>
              <w:t>由招标代理人存档，不退还）。</w:t>
            </w:r>
          </w:p>
        </w:tc>
      </w:tr>
      <w:tr>
        <w:trPr/>
        <w:tc>
          <w:tcPr>
            <w:tcW w:type="dxa" w:w="685"/>
            <w:vAlign w:val="center"/>
            <w:tcBorders>
              <w:left w:val="single" w:color="auto" w:sz="12"/>
            </w:tcBorders>
          </w:tcPr>
          <w:p>
            <w:pPr>
              <w:numPr>
                <w:ilvl w:val="0"/>
                <w:numId w:val="0"/>
              </w:numPr>
              <w:jc w:val="center"/>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17</w:t>
            </w:r>
          </w:p>
        </w:tc>
        <w:tc>
          <w:tcPr>
            <w:tcW w:type="dxa" w:w="7837"/>
            <w:vAlign w:val="top"/>
            <w:tcBorders>
              <w:right w:val="single" w:color="auto" w:sz="12"/>
            </w:tcBorders>
          </w:tcPr>
          <w:p>
            <w:pPr>
              <w:numPr>
                <w:ilvl w:val="0"/>
                <w:numId w:val="0"/>
              </w:numPr>
              <w:jc w:val="left"/>
              <w:spacing w:lineRule="exact" w:line="500" w:before="0" w:after="200"/>
              <w:ind w:right="0" w:firstLine="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评标办法：综合评分法</w:t>
            </w:r>
          </w:p>
        </w:tc>
      </w:tr>
    </w:tbl>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1.总  则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1.1适用范围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本谈判文件仅适用于本次采购项目的招标、投标、评标、定标、验收、合同履约</w:t>
      </w:r>
      <w:r>
        <w:rPr>
          <w:color w:val="auto"/>
          <w:position w:val="0"/>
          <w:sz w:val="24"/>
          <w:szCs w:val="24"/>
          <w:rFonts w:ascii="仿宋" w:eastAsia="仿宋" w:hAnsi="仿宋" w:hint="default"/>
        </w:rPr>
        <w:t xml:space="preserve">、付款等行为（法律、法规另有规定的，从其规定）。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1.2定义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1.2.1“采购人”是指采购单位</w:t>
      </w:r>
      <w:r>
        <w:rPr>
          <w:color w:val="auto"/>
          <w:position w:val="0"/>
          <w:sz w:val="24"/>
          <w:szCs w:val="24"/>
          <w:u w:val="single"/>
          <w:rFonts w:ascii="仿宋" w:eastAsia="仿宋" w:hAnsi="仿宋" w:hint="default"/>
        </w:rPr>
        <w:t>恩施大峡谷旅游开发有限公司</w:t>
      </w:r>
      <w:r>
        <w:rPr>
          <w:color w:val="auto"/>
          <w:position w:val="0"/>
          <w:sz w:val="24"/>
          <w:szCs w:val="24"/>
          <w:rFonts w:ascii="仿宋" w:eastAsia="仿宋" w:hAnsi="仿宋" w:hint="default"/>
        </w:rPr>
        <w:t xml:space="preserve">。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1.2.2“供应商”是指对本次谈判采购项目表现出兴趣，并有可能实际参与该项</w:t>
      </w:r>
      <w:r>
        <w:rPr>
          <w:color w:val="auto"/>
          <w:position w:val="0"/>
          <w:sz w:val="24"/>
          <w:szCs w:val="24"/>
          <w:rFonts w:ascii="仿宋" w:eastAsia="仿宋" w:hAnsi="仿宋" w:hint="default"/>
        </w:rPr>
        <w:t xml:space="preserve">目投标的法人。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1.2.3“投标人”是指按照一定的程序，从采购人获取了招标文件，并向采购人</w:t>
      </w:r>
      <w:r>
        <w:rPr>
          <w:color w:val="auto"/>
          <w:position w:val="0"/>
          <w:sz w:val="24"/>
          <w:szCs w:val="24"/>
          <w:rFonts w:ascii="仿宋" w:eastAsia="仿宋" w:hAnsi="仿宋" w:hint="default"/>
        </w:rPr>
        <w:t xml:space="preserve">提交投标文件的供应商。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1.2.4“招标采购单位”是指采购人。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1.2.5 “服务”是指谈判文件规定中标方须承担的设计工作及相应的配合服务</w:t>
      </w:r>
      <w:r>
        <w:rPr>
          <w:color w:val="auto"/>
          <w:position w:val="0"/>
          <w:sz w:val="24"/>
          <w:szCs w:val="24"/>
          <w:rFonts w:ascii="仿宋" w:eastAsia="仿宋" w:hAnsi="仿宋" w:hint="default"/>
        </w:rPr>
        <w:t xml:space="preserve">工作。具体详见谈判文件第三章。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1.2.6“项目”是指中标人按谈判文件规定向采购人提供相关服务。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1.2.7谈判文件中带“▲”条款为实质性要求条款，投标人应无条件响应，否则</w:t>
      </w:r>
      <w:r>
        <w:rPr>
          <w:color w:val="auto"/>
          <w:position w:val="0"/>
          <w:sz w:val="24"/>
          <w:szCs w:val="24"/>
          <w:rFonts w:ascii="仿宋" w:eastAsia="仿宋" w:hAnsi="仿宋" w:hint="default"/>
        </w:rPr>
        <w:t xml:space="preserve">视为无效投标。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1.3招标方式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本次招标采用竞争性谈判方式进行。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1.4投标人资格条件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1.4.1投标人资格条件：见投标人须知前附表及谈判公告。</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1.5投标费用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不论投标结果如何，投标人均应自行承担所有与投标有关的全部费用。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1.6转包与分包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本项目不允许转包和分包。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1.7现场勘踏：</w:t>
      </w:r>
      <w:r>
        <w:rPr>
          <w:color w:val="auto"/>
          <w:position w:val="0"/>
          <w:sz w:val="24"/>
          <w:szCs w:val="24"/>
          <w:rFonts w:ascii="仿宋" w:eastAsia="仿宋" w:hAnsi="仿宋" w:hint="default"/>
        </w:rPr>
        <w:t xml:space="preserve">见投标人须知前附表。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1.8特别说明：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1.8.1 投标人投标所使用的资格必须为本法人所拥有。投标人投标所使用的项</w:t>
      </w:r>
      <w:r>
        <w:rPr>
          <w:color w:val="auto"/>
          <w:position w:val="0"/>
          <w:sz w:val="24"/>
          <w:szCs w:val="24"/>
          <w:rFonts w:ascii="仿宋" w:eastAsia="仿宋" w:hAnsi="仿宋" w:hint="default"/>
        </w:rPr>
        <w:t xml:space="preserve">目实施人员必须为本法人员工。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1.8.2投标人应仔细阅读谈判文件的所有内容，按照谈判文件的要求提交响应</w:t>
      </w:r>
      <w:r>
        <w:rPr>
          <w:color w:val="auto"/>
          <w:position w:val="0"/>
          <w:sz w:val="24"/>
          <w:szCs w:val="24"/>
          <w:rFonts w:ascii="仿宋" w:eastAsia="仿宋" w:hAnsi="仿宋" w:hint="default"/>
        </w:rPr>
        <w:t xml:space="preserve">文件，并对所提供的全部资料的真实性承担法律责任。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1.8.3投标人在投标活动中提供任何虚假材料,其投标无效；中标后发现的,中</w:t>
      </w:r>
      <w:r>
        <w:rPr>
          <w:color w:val="auto"/>
          <w:position w:val="0"/>
          <w:sz w:val="24"/>
          <w:szCs w:val="24"/>
          <w:rFonts w:ascii="仿宋" w:eastAsia="仿宋" w:hAnsi="仿宋" w:hint="default"/>
        </w:rPr>
        <w:t>标人须依照《中华人民共和国消费者权益保护法》第49条之规定双倍赔偿采购人，</w:t>
      </w:r>
      <w:r>
        <w:rPr>
          <w:color w:val="auto"/>
          <w:position w:val="0"/>
          <w:sz w:val="24"/>
          <w:szCs w:val="24"/>
          <w:rFonts w:ascii="仿宋" w:eastAsia="仿宋" w:hAnsi="仿宋" w:hint="default"/>
        </w:rPr>
        <w:t xml:space="preserve">且民事赔偿并不免除违法投标人的其他责任。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1.8.4投标人递交的响应文件除投标截止时间前书面撤回、密封不符合规定退</w:t>
      </w:r>
      <w:r>
        <w:rPr>
          <w:color w:val="auto"/>
          <w:position w:val="0"/>
          <w:sz w:val="24"/>
          <w:szCs w:val="24"/>
          <w:rFonts w:ascii="仿宋" w:eastAsia="仿宋" w:hAnsi="仿宋" w:hint="default"/>
        </w:rPr>
        <w:t xml:space="preserve">回等谈判文件规定情形外，均不退回投标人，请投标人自行做好存档。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2.谈判文件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2.1谈判文件的构成。本谈判文件由以下部份组成：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（1）谈判公告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（2）投标人须知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（3）采购需求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（4）评标办法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（5）响应文件格式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（6）本项目谈判文件的澄清、答复、修改、补充的内容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2.2谈判文件中涉及的时间为北京时间，涉及的币种为人民币。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2.3投标人的风险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投标人没有按照谈判文件要求提供全部资料，或者投标人没有对谈判文件在各</w:t>
      </w:r>
      <w:r>
        <w:rPr>
          <w:color w:val="auto"/>
          <w:position w:val="0"/>
          <w:sz w:val="24"/>
          <w:szCs w:val="24"/>
          <w:rFonts w:ascii="仿宋" w:eastAsia="仿宋" w:hAnsi="仿宋" w:hint="default"/>
        </w:rPr>
        <w:t xml:space="preserve">方面作出实质性响应是投标人的风险，并可能导致其投标被拒绝。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2.4谈判文件的澄清与修改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2.4.1谈判文件的答疑：谈判文件收受人对谈判文件如有疑问，应在须知前附</w:t>
      </w:r>
      <w:r>
        <w:rPr>
          <w:color w:val="auto"/>
          <w:position w:val="0"/>
          <w:sz w:val="24"/>
          <w:szCs w:val="24"/>
          <w:rFonts w:ascii="仿宋" w:eastAsia="仿宋" w:hAnsi="仿宋" w:hint="default"/>
        </w:rPr>
        <w:t>表规定的提出疑问截止时间前按谈判公告中的联系方式，以书面形式通知招标采购</w:t>
      </w:r>
      <w:r>
        <w:rPr>
          <w:color w:val="auto"/>
          <w:position w:val="0"/>
          <w:sz w:val="24"/>
          <w:szCs w:val="24"/>
          <w:rFonts w:ascii="仿宋" w:eastAsia="仿宋" w:hAnsi="仿宋" w:hint="default"/>
        </w:rPr>
        <w:t>单位。招标采购单位对在此规定时间以前收到的、且需要做出澄清的问题，将以第</w:t>
      </w:r>
      <w:r>
        <w:rPr>
          <w:color w:val="auto"/>
          <w:position w:val="0"/>
          <w:sz w:val="24"/>
          <w:szCs w:val="24"/>
          <w:rFonts w:ascii="仿宋" w:eastAsia="仿宋" w:hAnsi="仿宋" w:hint="default"/>
        </w:rPr>
        <w:t>2.4.3款所述方式进行答复，但不说明问题的来源。答疑的内容构成谈判文件组成部</w:t>
      </w:r>
      <w:r>
        <w:rPr>
          <w:color w:val="auto"/>
          <w:position w:val="0"/>
          <w:sz w:val="24"/>
          <w:szCs w:val="24"/>
          <w:rFonts w:ascii="仿宋" w:eastAsia="仿宋" w:hAnsi="仿宋" w:hint="default"/>
        </w:rPr>
        <w:t xml:space="preserve">分。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2.4.2谈判文件收受人逾期未提出疑问的或未按谈判文件规定的形式提出疑问的，</w:t>
      </w:r>
      <w:r>
        <w:rPr>
          <w:color w:val="auto"/>
          <w:position w:val="0"/>
          <w:sz w:val="24"/>
          <w:szCs w:val="24"/>
          <w:rFonts w:ascii="仿宋" w:eastAsia="仿宋" w:hAnsi="仿宋" w:hint="default"/>
        </w:rPr>
        <w:t xml:space="preserve">视为无疑问，招标采购单位不再另行安排时间答疑。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2.4.3谈判文件补充、修改或澄清：采购人在投标截止日前需要对谈判文件进</w:t>
      </w:r>
      <w:r>
        <w:rPr>
          <w:color w:val="auto"/>
          <w:position w:val="0"/>
          <w:sz w:val="24"/>
          <w:szCs w:val="24"/>
          <w:rFonts w:ascii="仿宋" w:eastAsia="仿宋" w:hAnsi="仿宋" w:hint="default"/>
        </w:rPr>
        <w:t>行补充或修改、澄清的，可以按照规定对其进行补充或修改、澄清，并以电子邮件形</w:t>
      </w:r>
      <w:r>
        <w:rPr>
          <w:color w:val="auto"/>
          <w:position w:val="0"/>
          <w:sz w:val="24"/>
          <w:szCs w:val="24"/>
          <w:rFonts w:ascii="仿宋" w:eastAsia="仿宋" w:hAnsi="仿宋" w:hint="default"/>
        </w:rPr>
        <w:t>式告知投标人谈判文件补充、修改或澄清的内容。各投标人有义务自行及时上网查阅。</w:t>
      </w:r>
      <w:r>
        <w:rPr>
          <w:color w:val="auto"/>
          <w:position w:val="0"/>
          <w:sz w:val="24"/>
          <w:szCs w:val="24"/>
          <w:rFonts w:ascii="仿宋" w:eastAsia="仿宋" w:hAnsi="仿宋" w:hint="default"/>
        </w:rPr>
        <w:t xml:space="preserve">不及时查阅造成的投标差异，后果由投标人自行负责。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2.4.4谈判文件澄清、答复、修改、补充的内容为谈判文件的组成部分。当谈判</w:t>
      </w:r>
      <w:r>
        <w:rPr>
          <w:color w:val="auto"/>
          <w:position w:val="0"/>
          <w:sz w:val="24"/>
          <w:szCs w:val="24"/>
          <w:rFonts w:ascii="仿宋" w:eastAsia="仿宋" w:hAnsi="仿宋" w:hint="default"/>
        </w:rPr>
        <w:t>文件与谈判文件的答复、澄清、修改、补充通知就同一内容的表述不一致时，以最后</w:t>
      </w:r>
      <w:r>
        <w:rPr>
          <w:color w:val="auto"/>
          <w:position w:val="0"/>
          <w:sz w:val="24"/>
          <w:szCs w:val="24"/>
          <w:rFonts w:ascii="仿宋" w:eastAsia="仿宋" w:hAnsi="仿宋" w:hint="default"/>
        </w:rPr>
        <w:t xml:space="preserve">发出的内容为准。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3.响应文件的编制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3.1响应文件的组成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响应文件应包括：商务文件、技术文件和投标报价文件三个部分（装订成一册），</w:t>
      </w:r>
      <w:r>
        <w:rPr>
          <w:b w:val="1"/>
          <w:color w:val="auto"/>
          <w:position w:val="0"/>
          <w:sz w:val="24"/>
          <w:szCs w:val="24"/>
          <w:rFonts w:ascii="仿宋" w:eastAsia="仿宋" w:hAnsi="仿宋" w:hint="default"/>
        </w:rPr>
        <w:t xml:space="preserve">响应文件一式五份，正本壹份、副本肆份。 投标文件电子文件一份（U盘），报价文</w:t>
      </w:r>
      <w:r>
        <w:rPr>
          <w:b w:val="1"/>
          <w:color w:val="auto"/>
          <w:position w:val="0"/>
          <w:sz w:val="24"/>
          <w:szCs w:val="24"/>
          <w:rFonts w:ascii="仿宋" w:eastAsia="仿宋" w:hAnsi="仿宋" w:hint="default"/>
        </w:rPr>
        <w:t>件为广联达软件版。</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3.1.1商务文件包括：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（1）法定代表人授权委托书(格式见谈判文件)；</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（2）证明投标人合格的资格文件（要求见谈判文件）；</w:t>
      </w:r>
    </w:p>
    <w:p>
      <w:pPr>
        <w:numPr>
          <w:ilvl w:val="0"/>
          <w:numId w:val="0"/>
        </w:numPr>
        <w:jc w:val="both"/>
        <w:spacing w:lineRule="auto" w:line="360" w:before="0" w:after="0"/>
        <w:ind w:right="0" w:firstLine="465"/>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（3）投标人业绩； </w:t>
      </w:r>
    </w:p>
    <w:p>
      <w:pPr>
        <w:numPr>
          <w:ilvl w:val="0"/>
          <w:numId w:val="0"/>
        </w:numPr>
        <w:jc w:val="both"/>
        <w:spacing w:lineRule="auto" w:line="360" w:before="0" w:after="0"/>
        <w:ind w:right="0" w:firstLine="465"/>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（4）近三年财务审计报告（2015、2016、2017，企业成立不足三年的根据实际</w:t>
      </w:r>
      <w:r>
        <w:rPr>
          <w:b w:val="1"/>
          <w:color w:val="auto"/>
          <w:position w:val="0"/>
          <w:sz w:val="24"/>
          <w:szCs w:val="24"/>
          <w:rFonts w:ascii="仿宋" w:eastAsia="仿宋" w:hAnsi="仿宋" w:hint="default"/>
        </w:rPr>
        <w:t>情况提供）；</w:t>
      </w:r>
    </w:p>
    <w:p>
      <w:pPr>
        <w:numPr>
          <w:ilvl w:val="0"/>
          <w:numId w:val="0"/>
        </w:numPr>
        <w:jc w:val="both"/>
        <w:spacing w:lineRule="auto" w:line="360" w:before="0" w:after="0"/>
        <w:ind w:right="0" w:firstLine="482"/>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（5）拟派的项目负责人及主要管理人员近三个月（自投标截止时间前推3个月）</w:t>
      </w:r>
      <w:r>
        <w:rPr>
          <w:b w:val="1"/>
          <w:color w:val="auto"/>
          <w:position w:val="0"/>
          <w:sz w:val="24"/>
          <w:szCs w:val="24"/>
          <w:rFonts w:ascii="仿宋" w:eastAsia="仿宋" w:hAnsi="仿宋" w:hint="default"/>
        </w:rPr>
        <w:t>的社保明细（社保局盖章）；</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    （6）投标人认为需要提交的其他材料（如有）。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3.1.2技术文件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（1）机构设置及主要人员情况介绍（格式见谈判文件）；</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（2）施工组织设计或施工方案（格式自拟）； </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（3）投标人需要说明的其他文件和说明（如有）。</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3.1.3投标报价文件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（1）投标函（格式见谈判文件）。投标函除在响应文件中装订外，还应单独装</w:t>
      </w:r>
      <w:r>
        <w:rPr>
          <w:color w:val="auto"/>
          <w:position w:val="0"/>
          <w:sz w:val="24"/>
          <w:szCs w:val="24"/>
          <w:rFonts w:ascii="仿宋" w:eastAsia="仿宋" w:hAnsi="仿宋" w:hint="default"/>
        </w:rPr>
        <w:t>订一份密封在信封内，唱标时使用。</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（2）报价书（格式见谈判文件）。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3.2响应文件的语言及计量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3.2.1响应文件以及投标人与采购人就有关投标事宜的所有来往函电，均应以中</w:t>
      </w:r>
      <w:r>
        <w:rPr>
          <w:color w:val="auto"/>
          <w:position w:val="0"/>
          <w:sz w:val="24"/>
          <w:szCs w:val="24"/>
          <w:rFonts w:ascii="仿宋" w:eastAsia="仿宋" w:hAnsi="仿宋" w:hint="default"/>
        </w:rPr>
        <w:t>文汉语书写。除签名、盖章、专用名称等特殊情形外，以中文汉语以外的文字表述的</w:t>
      </w:r>
      <w:r>
        <w:rPr>
          <w:color w:val="auto"/>
          <w:position w:val="0"/>
          <w:sz w:val="24"/>
          <w:szCs w:val="24"/>
          <w:rFonts w:ascii="仿宋" w:eastAsia="仿宋" w:hAnsi="仿宋" w:hint="default"/>
        </w:rPr>
        <w:t xml:space="preserve">投标响应文件视同未提供。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3.2.2投标计量单位，谈判文件已有明确规定的，应使用谈判文件规定的计量</w:t>
      </w:r>
      <w:r>
        <w:rPr>
          <w:color w:val="auto"/>
          <w:position w:val="0"/>
          <w:sz w:val="24"/>
          <w:szCs w:val="24"/>
          <w:rFonts w:ascii="仿宋" w:eastAsia="仿宋" w:hAnsi="仿宋" w:hint="default"/>
        </w:rPr>
        <w:t>单位；谈判文件没有规定的，应采用中华人民共和国法定计量单位，货币单位为人</w:t>
      </w:r>
      <w:r>
        <w:rPr>
          <w:color w:val="auto"/>
          <w:position w:val="0"/>
          <w:sz w:val="24"/>
          <w:szCs w:val="24"/>
          <w:rFonts w:ascii="仿宋" w:eastAsia="仿宋" w:hAnsi="仿宋" w:hint="default"/>
        </w:rPr>
        <w:t xml:space="preserve">民币元，否则视同未响应。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3.3投标报价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3.3.1投标报价应按谈判文件中相关附表格式填写。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3.3.2投标报价不得超过投标限价，否则将被视为无效投标。</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3.3.3响应文件中的投标报价只允许有一个报价，有选择的或有条件的报价将不</w:t>
      </w:r>
      <w:r>
        <w:rPr>
          <w:color w:val="auto"/>
          <w:position w:val="0"/>
          <w:sz w:val="24"/>
          <w:szCs w:val="24"/>
          <w:rFonts w:ascii="仿宋" w:eastAsia="仿宋" w:hAnsi="仿宋" w:hint="default"/>
        </w:rPr>
        <w:t xml:space="preserve">予接受。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3.4证明投标人合格的资格文件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投标人在其响应文件中，应提供证明其有资格参加投标，以及中标后有履行合</w:t>
      </w:r>
      <w:r>
        <w:rPr>
          <w:color w:val="auto"/>
          <w:position w:val="0"/>
          <w:sz w:val="24"/>
          <w:szCs w:val="24"/>
          <w:rFonts w:ascii="仿宋" w:eastAsia="仿宋" w:hAnsi="仿宋" w:hint="default"/>
        </w:rPr>
        <w:t xml:space="preserve">同所必需的人员、管理等方面能力的证明文件，包括但不限于以下方面：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3.4.1年检合格的企业法人营业执照副本或事业单位法人证书复印件；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3.4.2投标人及其法定代表人近三年内无行贿犯罪记录的书面承诺。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3.5证明服务符合谈判文件规定的文件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3.5.1谈判文件商务要求和技术参数前如标有“▲”号，则表示该参数为关键性</w:t>
      </w:r>
      <w:r>
        <w:rPr>
          <w:color w:val="auto"/>
          <w:position w:val="0"/>
          <w:sz w:val="24"/>
          <w:szCs w:val="24"/>
          <w:rFonts w:ascii="仿宋" w:eastAsia="仿宋" w:hAnsi="仿宋" w:hint="default"/>
        </w:rPr>
        <w:t>商务或技术参数，投标人必须无条件满足，否则该投标人的响应文件在评审中将被</w:t>
      </w:r>
      <w:r>
        <w:rPr>
          <w:color w:val="auto"/>
          <w:position w:val="0"/>
          <w:sz w:val="24"/>
          <w:szCs w:val="24"/>
          <w:rFonts w:ascii="仿宋" w:eastAsia="仿宋" w:hAnsi="仿宋" w:hint="default"/>
        </w:rPr>
        <w:t xml:space="preserve">视为无效投标。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3.6谈判文件的有效期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3.6.1自谈判截止日起60天内响应文件应保持有效。有效期不足的响应文件将</w:t>
      </w:r>
      <w:r>
        <w:rPr>
          <w:color w:val="auto"/>
          <w:position w:val="0"/>
          <w:sz w:val="24"/>
          <w:szCs w:val="24"/>
          <w:rFonts w:ascii="仿宋" w:eastAsia="仿宋" w:hAnsi="仿宋" w:hint="default"/>
        </w:rPr>
        <w:t xml:space="preserve">被拒绝。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3.6.2在特殊情况下，采购人可于原谈判有效期满之前，向投标人提出延长谈判</w:t>
      </w:r>
      <w:r>
        <w:rPr>
          <w:color w:val="auto"/>
          <w:position w:val="0"/>
          <w:sz w:val="24"/>
          <w:szCs w:val="24"/>
          <w:rFonts w:ascii="仿宋" w:eastAsia="仿宋" w:hAnsi="仿宋" w:hint="default"/>
        </w:rPr>
        <w:t>有效期的要求。延长谈判有效期的要求将被发布在指定的网站上或者直接以电子邮件</w:t>
      </w:r>
      <w:r>
        <w:rPr>
          <w:color w:val="auto"/>
          <w:position w:val="0"/>
          <w:sz w:val="24"/>
          <w:szCs w:val="24"/>
          <w:rFonts w:ascii="仿宋" w:eastAsia="仿宋" w:hAnsi="仿宋" w:hint="default"/>
        </w:rPr>
        <w:t xml:space="preserve">的形式告知投标人。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3.7响应文件的编制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3.7.1</w:t>
      </w:r>
      <w:r>
        <w:rPr>
          <w:b w:val="1"/>
          <w:color w:val="auto"/>
          <w:position w:val="0"/>
          <w:sz w:val="24"/>
          <w:szCs w:val="24"/>
          <w:u w:val="single"/>
          <w:rFonts w:ascii="仿宋" w:eastAsia="仿宋" w:hAnsi="仿宋" w:hint="default"/>
        </w:rPr>
        <w:t>投标人应按本谈判文件规定的格式、要求和顺序编制、装订响应文件，响</w:t>
      </w:r>
      <w:r>
        <w:rPr>
          <w:b w:val="1"/>
          <w:color w:val="auto"/>
          <w:position w:val="0"/>
          <w:sz w:val="24"/>
          <w:szCs w:val="24"/>
          <w:u w:val="single"/>
          <w:rFonts w:ascii="仿宋" w:eastAsia="仿宋" w:hAnsi="仿宋" w:hint="default"/>
        </w:rPr>
        <w:t>应文件内容不完整、编排混乱导致响应文件被误读、漏读或者查找不到相关内容的，</w:t>
      </w:r>
      <w:r>
        <w:rPr>
          <w:b w:val="1"/>
          <w:color w:val="auto"/>
          <w:position w:val="0"/>
          <w:sz w:val="24"/>
          <w:szCs w:val="24"/>
          <w:u w:val="single"/>
          <w:rFonts w:ascii="仿宋" w:eastAsia="仿宋" w:hAnsi="仿宋" w:hint="default"/>
        </w:rPr>
        <w:t>投标无效</w:t>
      </w:r>
      <w:r>
        <w:rPr>
          <w:color w:val="auto"/>
          <w:position w:val="0"/>
          <w:sz w:val="24"/>
          <w:szCs w:val="24"/>
          <w:rFonts w:ascii="仿宋" w:eastAsia="仿宋" w:hAnsi="仿宋" w:hint="default"/>
        </w:rPr>
        <w:t xml:space="preserve">。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3.7.2响应文件的正本与副本须打印或用不褪色的墨水填写。响应文件封面须清</w:t>
      </w:r>
      <w:r>
        <w:rPr>
          <w:color w:val="auto"/>
          <w:position w:val="0"/>
          <w:sz w:val="24"/>
          <w:szCs w:val="24"/>
          <w:rFonts w:ascii="仿宋" w:eastAsia="仿宋" w:hAnsi="仿宋" w:hint="default"/>
        </w:rPr>
        <w:t>楚地标明“正本”或“副本”字样，正本与副本内容一致；若正本与副本不一致，</w:t>
      </w:r>
      <w:r>
        <w:rPr>
          <w:color w:val="auto"/>
          <w:position w:val="0"/>
          <w:sz w:val="24"/>
          <w:szCs w:val="24"/>
          <w:rFonts w:ascii="仿宋" w:eastAsia="仿宋" w:hAnsi="仿宋" w:hint="default"/>
        </w:rPr>
        <w:t xml:space="preserve">以正本为准。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3.7.3响应文件封面应当由投标人盖公章。《投标函》应由投标人盖公章或由法</w:t>
      </w:r>
      <w:r>
        <w:rPr>
          <w:color w:val="auto"/>
          <w:position w:val="0"/>
          <w:sz w:val="24"/>
          <w:szCs w:val="24"/>
          <w:rFonts w:ascii="仿宋" w:eastAsia="仿宋" w:hAnsi="仿宋" w:hint="default"/>
        </w:rPr>
        <w:t>定代表人（或其委托代理人）签名的，仅由委托代理人签名的，应提供有效的法定</w:t>
      </w:r>
      <w:r>
        <w:rPr>
          <w:color w:val="auto"/>
          <w:position w:val="0"/>
          <w:sz w:val="24"/>
          <w:szCs w:val="24"/>
          <w:rFonts w:ascii="仿宋" w:eastAsia="仿宋" w:hAnsi="仿宋" w:hint="default"/>
        </w:rPr>
        <w:t xml:space="preserve">代表人授权委托书。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3.7.4响应文件应尽量避免涂改、行间插字或删除。如果出现上述情况，应当由</w:t>
      </w:r>
      <w:r>
        <w:rPr>
          <w:color w:val="auto"/>
          <w:position w:val="0"/>
          <w:sz w:val="24"/>
          <w:szCs w:val="24"/>
          <w:rFonts w:ascii="仿宋" w:eastAsia="仿宋" w:hAnsi="仿宋" w:hint="default"/>
        </w:rPr>
        <w:t xml:space="preserve">投标人的法定代表人（或委托代理人）签名或由投标人盖公章。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3.8响应文件的装订、密封、修改和撤回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3.8.1响应文件的正本、副本应分别装订成册。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3.8.2所有响应文件装订须牢固不易拆散和换页。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3.8.3投标人应将响应文件用密封袋密封包装。</w:t>
      </w:r>
      <w:r>
        <w:rPr>
          <w:b w:val="1"/>
          <w:color w:val="auto"/>
          <w:position w:val="0"/>
          <w:sz w:val="24"/>
          <w:szCs w:val="24"/>
          <w:u w:val="single"/>
          <w:rFonts w:ascii="仿宋" w:eastAsia="仿宋" w:hAnsi="仿宋" w:hint="default"/>
        </w:rPr>
        <w:t>响应文件的密封袋封面上应注明</w:t>
      </w:r>
      <w:r>
        <w:rPr>
          <w:b w:val="1"/>
          <w:color w:val="auto"/>
          <w:position w:val="0"/>
          <w:sz w:val="24"/>
          <w:szCs w:val="24"/>
          <w:u w:val="single"/>
          <w:rFonts w:ascii="仿宋" w:eastAsia="仿宋" w:hAnsi="仿宋" w:hint="default"/>
        </w:rPr>
        <w:t>投标人名称、投标项目名称及“开标时启封”字样，并加盖投标人公章。封装应该严</w:t>
      </w:r>
      <w:r>
        <w:rPr>
          <w:b w:val="1"/>
          <w:color w:val="auto"/>
          <w:position w:val="0"/>
          <w:sz w:val="24"/>
          <w:szCs w:val="24"/>
          <w:u w:val="single"/>
          <w:rFonts w:ascii="仿宋" w:eastAsia="仿宋" w:hAnsi="仿宋" w:hint="default"/>
        </w:rPr>
        <w:t>密、不易破损。未按规定密封或标记的响应文件将被拒绝、退还给投标人</w:t>
      </w:r>
      <w:r>
        <w:rPr>
          <w:b w:val="1"/>
          <w:color w:val="auto"/>
          <w:position w:val="0"/>
          <w:sz w:val="24"/>
          <w:szCs w:val="24"/>
          <w:rFonts w:ascii="仿宋" w:eastAsia="仿宋" w:hAnsi="仿宋" w:hint="default"/>
        </w:rPr>
        <w:t>。</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3.8.4投标人在谈判截止时间之前，可以对已提交的响应文件进行修改或撤回，</w:t>
      </w:r>
      <w:r>
        <w:rPr>
          <w:color w:val="auto"/>
          <w:position w:val="0"/>
          <w:sz w:val="24"/>
          <w:szCs w:val="24"/>
          <w:rFonts w:ascii="仿宋" w:eastAsia="仿宋" w:hAnsi="仿宋" w:hint="default"/>
        </w:rPr>
        <w:t>并书面通知采购人；修改后重新递交的响应文件应当按本谈判文件的要求签署、盖章</w:t>
      </w:r>
      <w:r>
        <w:rPr>
          <w:color w:val="auto"/>
          <w:position w:val="0"/>
          <w:sz w:val="24"/>
          <w:szCs w:val="24"/>
          <w:rFonts w:ascii="仿宋" w:eastAsia="仿宋" w:hAnsi="仿宋" w:hint="default"/>
        </w:rPr>
        <w:t xml:space="preserve">和密封。谈判截止时间后，投标人不得撤回、修改响应文件。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3.9响应文件的递交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3.9.1投标人应当在谈判须知前附表和谈判公告规定的谈判截止时间前向采购</w:t>
      </w:r>
      <w:r>
        <w:rPr>
          <w:color w:val="auto"/>
          <w:position w:val="0"/>
          <w:sz w:val="24"/>
          <w:szCs w:val="24"/>
          <w:rFonts w:ascii="仿宋" w:eastAsia="仿宋" w:hAnsi="仿宋" w:hint="default"/>
        </w:rPr>
        <w:t xml:space="preserve">人递交响应文件，逾期递交的响应文件将被拒绝。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3.9.2响应文件必须由专人按照谈判须知前附表和谈判公告注明的地址送达，</w:t>
      </w:r>
      <w:r>
        <w:rPr>
          <w:color w:val="auto"/>
          <w:position w:val="0"/>
          <w:sz w:val="24"/>
          <w:szCs w:val="24"/>
          <w:rFonts w:ascii="仿宋" w:eastAsia="仿宋" w:hAnsi="仿宋" w:hint="default"/>
        </w:rPr>
        <w:t xml:space="preserve">采用特快专递、电话、传真形式的，将被拒绝。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4.开标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4.1采购人将按谈判须知前附表和谈判公告规定的时间和地点组织开标，投标</w:t>
      </w:r>
      <w:r>
        <w:rPr>
          <w:color w:val="auto"/>
          <w:position w:val="0"/>
          <w:sz w:val="24"/>
          <w:szCs w:val="24"/>
          <w:rFonts w:ascii="仿宋" w:eastAsia="仿宋" w:hAnsi="仿宋" w:hint="default"/>
        </w:rPr>
        <w:t xml:space="preserve">人的法定代表人或其委托代理人应持身份证参加开标会并签到。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4.2开标程序：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4.2.1开标会由采购人主持，主持人宣布开标会议开始。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4.2.2 投标人递交资格证明材料。详见投标人须知前附表。</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4.2.3查验投标人到场情况及响应文件的密封情况。投标人的法定代表人或其</w:t>
      </w:r>
      <w:r>
        <w:rPr>
          <w:color w:val="auto"/>
          <w:position w:val="0"/>
          <w:sz w:val="24"/>
          <w:szCs w:val="24"/>
          <w:rFonts w:ascii="仿宋" w:eastAsia="仿宋" w:hAnsi="仿宋" w:hint="default"/>
        </w:rPr>
        <w:t>委托代理人未参加开标会，或投响应文件没有按规定密封的，响应文件将被拒绝、退</w:t>
      </w:r>
      <w:r>
        <w:rPr>
          <w:color w:val="auto"/>
          <w:position w:val="0"/>
          <w:sz w:val="24"/>
          <w:szCs w:val="24"/>
          <w:rFonts w:ascii="仿宋" w:eastAsia="仿宋" w:hAnsi="仿宋" w:hint="default"/>
        </w:rPr>
        <w:t xml:space="preserve">还给投标人。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4.2.5密封情况及参加人员情况检查完成后进行资格审查和符合性审查。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4.2.6资格性审查和符合性审查结束后，由主持人公布无效投标的投标人名单</w:t>
      </w:r>
      <w:r>
        <w:rPr>
          <w:color w:val="auto"/>
          <w:position w:val="0"/>
          <w:sz w:val="24"/>
          <w:szCs w:val="24"/>
          <w:rFonts w:ascii="仿宋" w:eastAsia="仿宋" w:hAnsi="仿宋" w:hint="default"/>
        </w:rPr>
        <w:t>、投标无效的原因。</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4.2.7工作人员当众拆封经上述审查后有效投标的投标报价文件，唱标人宣读</w:t>
      </w:r>
      <w:r>
        <w:rPr>
          <w:color w:val="auto"/>
          <w:position w:val="0"/>
          <w:sz w:val="24"/>
          <w:szCs w:val="24"/>
          <w:rFonts w:ascii="仿宋" w:eastAsia="仿宋" w:hAnsi="仿宋" w:hint="default"/>
        </w:rPr>
        <w:t>投标人名称、投标报价，并由投标人在投标报价记录上签字确认。</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4.2.8开标会由专人负责记录。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4.2.9投标人对开标有异议的，应当在开标现场提出。开标后投标人不得对开</w:t>
      </w:r>
      <w:r>
        <w:rPr>
          <w:color w:val="auto"/>
          <w:position w:val="0"/>
          <w:sz w:val="24"/>
          <w:szCs w:val="24"/>
          <w:rFonts w:ascii="仿宋" w:eastAsia="仿宋" w:hAnsi="仿宋" w:hint="default"/>
        </w:rPr>
        <w:t xml:space="preserve">标现场已确认事项提出质疑。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 5.评标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5.1组建评标委员会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采购人根据采购项目的特点组建评标委员会。评标委员会由5人或以上奇数组</w:t>
      </w:r>
      <w:r>
        <w:rPr>
          <w:color w:val="auto"/>
          <w:position w:val="0"/>
          <w:sz w:val="24"/>
          <w:szCs w:val="24"/>
          <w:rFonts w:ascii="仿宋" w:eastAsia="仿宋" w:hAnsi="仿宋" w:hint="default"/>
        </w:rPr>
        <w:t xml:space="preserve">成。具体评标事务由评标委员会负责。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5.2评标的方式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本项目采用不公开方式评标，评标的依据为谈判文件和响应文件。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5.3评标原则和评标办法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5.3.1评标原则。评标委员会必须公平、公正、客观，不带任何倾向性和启发性；</w:t>
      </w:r>
      <w:r>
        <w:rPr>
          <w:color w:val="auto"/>
          <w:position w:val="0"/>
          <w:sz w:val="24"/>
          <w:szCs w:val="24"/>
          <w:rFonts w:ascii="仿宋" w:eastAsia="仿宋" w:hAnsi="仿宋" w:hint="default"/>
        </w:rPr>
        <w:t>不得向外界透露任何与评标有关的内容；任何单位和个人不得干扰、影响评标的正常</w:t>
      </w:r>
      <w:r>
        <w:rPr>
          <w:color w:val="auto"/>
          <w:position w:val="0"/>
          <w:sz w:val="24"/>
          <w:szCs w:val="24"/>
          <w:rFonts w:ascii="仿宋" w:eastAsia="仿宋" w:hAnsi="仿宋" w:hint="default"/>
        </w:rPr>
        <w:t xml:space="preserve">进行；评标委员会及有关工作人员不得私下与投标人接触。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5.3.2评标办法。本项目评标办法是综合评分法。评标委员会应根据投标人的资</w:t>
      </w:r>
      <w:r>
        <w:rPr>
          <w:b w:val="1"/>
          <w:color w:val="auto"/>
          <w:position w:val="0"/>
          <w:sz w:val="24"/>
          <w:szCs w:val="24"/>
          <w:rFonts w:ascii="仿宋" w:eastAsia="仿宋" w:hAnsi="仿宋" w:hint="default"/>
        </w:rPr>
        <w:t>格条件、业绩、财务状况、技术力量、履约能力和投标报价进行综合评定。</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5.4评标程序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5.4.1资格性审查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5.4.2商务文件和技术文件的符合性审查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5.4.3投标报价文件的符合性审查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5.4.4推荐中标候选人</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6.定标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6.1评标委员会综合评估后，推荐中标候选人。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6.2采购人于评标结束后依据评审意见表确定中标人。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7.合同授予 </w:t>
      </w:r>
    </w:p>
    <w:p>
      <w:pPr>
        <w:numPr>
          <w:ilvl w:val="0"/>
          <w:numId w:val="0"/>
        </w:numPr>
        <w:jc w:val="both"/>
        <w:spacing w:lineRule="auto" w:line="360" w:before="0" w:after="0"/>
        <w:ind w:right="0" w:firstLine="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w:t>
      </w:r>
      <w:r>
        <w:rPr>
          <w:b w:val="1"/>
          <w:color w:val="auto"/>
          <w:position w:val="0"/>
          <w:sz w:val="24"/>
          <w:szCs w:val="24"/>
          <w:rFonts w:ascii="仿宋" w:eastAsia="仿宋" w:hAnsi="仿宋" w:hint="default"/>
        </w:rPr>
        <w:t xml:space="preserve">7.1签订合同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7.1.1中标人应自接到采购人通知之日起3个工作日内到采购人处领取中标通知</w:t>
      </w:r>
      <w:r>
        <w:rPr>
          <w:color w:val="auto"/>
          <w:position w:val="0"/>
          <w:sz w:val="24"/>
          <w:szCs w:val="24"/>
          <w:rFonts w:ascii="仿宋" w:eastAsia="仿宋" w:hAnsi="仿宋" w:hint="default"/>
        </w:rPr>
        <w:t xml:space="preserve">书，无故逾期不领取的，视为自动放弃中标资格。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7.1.2中标人应在领取中标通知书之日起30个工作日内与采购人签订合同。 </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7.1.3签订合同的依据是谈判文件和中标人的投标响应文件，不得对其作实质性</w:t>
      </w:r>
      <w:r>
        <w:rPr>
          <w:color w:val="auto"/>
          <w:position w:val="0"/>
          <w:sz w:val="24"/>
          <w:szCs w:val="24"/>
          <w:rFonts w:ascii="仿宋" w:eastAsia="仿宋" w:hAnsi="仿宋" w:hint="default"/>
        </w:rPr>
        <w:t>的修改，否则签订的合同无效。</w:t>
      </w:r>
    </w:p>
    <w:p>
      <w:pPr>
        <w:numPr>
          <w:ilvl w:val="0"/>
          <w:numId w:val="0"/>
        </w:numPr>
        <w:jc w:val="both"/>
        <w:spacing w:lineRule="auto" w:line="360" w:before="0" w:after="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    7.1.4中标人放弃中标资格，因不可抗力不能履行合同或者被查实存在影响中标</w:t>
      </w:r>
      <w:r>
        <w:rPr>
          <w:color w:val="auto"/>
          <w:position w:val="0"/>
          <w:sz w:val="24"/>
          <w:szCs w:val="24"/>
          <w:rFonts w:ascii="仿宋" w:eastAsia="仿宋" w:hAnsi="仿宋" w:hint="default"/>
        </w:rPr>
        <w:t>结果的违法行为等情形，不符合中标条件的，招标人可以按照评标委员会提出的中</w:t>
      </w:r>
      <w:r>
        <w:rPr>
          <w:color w:val="auto"/>
          <w:position w:val="0"/>
          <w:sz w:val="24"/>
          <w:szCs w:val="24"/>
          <w:rFonts w:ascii="仿宋" w:eastAsia="仿宋" w:hAnsi="仿宋" w:hint="default"/>
        </w:rPr>
        <w:t xml:space="preserve">标候选人名单排序依次确定其他中标候选人为中标人，也可以重新招标。   </w:t>
      </w:r>
    </w:p>
    <w:p>
      <w:pPr>
        <w:numPr>
          <w:ilvl w:val="0"/>
          <w:numId w:val="0"/>
        </w:numPr>
        <w:jc w:val="left"/>
        <w:spacing w:lineRule="atLeast" w:line="220" w:before="0" w:after="200"/>
        <w:ind w:right="0" w:firstLine="270"/>
        <w:rPr>
          <w:color w:val="auto"/>
          <w:position w:val="0"/>
          <w:sz w:val="24"/>
          <w:szCs w:val="24"/>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仿宋" w:eastAsia="仿宋" w:hAnsi="仿宋" w:hint="default"/>
        </w:rPr>
        <w:snapToGrid w:val="off"/>
        <w:autoSpaceDE w:val="1"/>
        <w:autoSpaceDN w:val="1"/>
      </w:pPr>
    </w:p>
    <w:p>
      <w:pPr>
        <w:pStyle w:val="PO7"/>
        <w:numPr>
          <w:ilvl w:val="0"/>
          <w:numId w:val="0"/>
        </w:numPr>
        <w:jc w:val="center"/>
        <w:spacing w:lineRule="auto" w:line="576" w:before="340" w:after="330"/>
        <w:ind w:right="0" w:firstLine="0"/>
        <w:rPr>
          <w:b w:val="1"/>
          <w:color w:val="auto"/>
          <w:position w:val="0"/>
          <w:sz w:val="28"/>
          <w:szCs w:val="28"/>
          <w:rFonts w:ascii="宋体" w:eastAsia="MingLiU" w:hAnsi="MingLiU" w:hint="default"/>
        </w:rPr>
        <w:outlineLvl w:val="0"/>
        <w:snapToGrid w:val="on"/>
        <w:autoSpaceDE w:val="1"/>
        <w:autoSpaceDN w:val="1"/>
      </w:pPr>
      <w:bookmarkStart w:id="3" w:name="_Toc233114000"/>
      <w:bookmarkStart w:id="4" w:name="_Toc294434386"/>
      <w:bookmarkStart w:id="5" w:name="_Toc448855850"/>
      <w:bookmarkStart w:id="6" w:name="_Toc504125540"/>
      <w:r>
        <w:rPr>
          <w:b w:val="1"/>
          <w:color w:val="auto"/>
          <w:position w:val="0"/>
          <w:sz w:val="28"/>
          <w:szCs w:val="28"/>
          <w:rFonts w:ascii="宋体" w:eastAsia="Times New Roman" w:hAnsi="Times New Roman" w:hint="default"/>
        </w:rPr>
        <w:t xml:space="preserve">第三章 评标办法（综合评分法）</w:t>
      </w:r>
      <w:bookmarkEnd w:id="3"/>
      <w:bookmarkEnd w:id="4"/>
      <w:bookmarkEnd w:id="5"/>
      <w:bookmarkEnd w:id="6"/>
    </w:p>
    <w:p>
      <w:pPr>
        <w:pStyle w:val="PO9"/>
        <w:numPr>
          <w:ilvl w:val="0"/>
          <w:numId w:val="0"/>
        </w:numPr>
        <w:jc w:val="center"/>
        <w:spacing w:lineRule="auto" w:line="240" w:before="0" w:after="0"/>
        <w:ind w:right="0" w:firstLine="0"/>
        <w:rPr>
          <w:b w:val="1"/>
          <w:color w:val="auto"/>
          <w:position w:val="0"/>
          <w:sz w:val="24"/>
          <w:szCs w:val="24"/>
          <w:rFonts w:ascii="仿宋" w:eastAsia="仿宋" w:hAnsi="仿宋" w:hint="default"/>
        </w:rPr>
        <w:outlineLvl w:val="2"/>
        <w:snapToGrid w:val="on"/>
        <w:autoSpaceDE w:val="1"/>
        <w:autoSpaceDN w:val="1"/>
      </w:pPr>
      <w:bookmarkStart w:id="7" w:name="_Toc490494607"/>
      <w:bookmarkStart w:id="8" w:name="_Toc504125541"/>
      <w:bookmarkStart w:id="9" w:name="_Toc420764374"/>
      <w:bookmarkStart w:id="10" w:name="_Toc420778141"/>
      <w:bookmarkStart w:id="11" w:name="_Toc448855851"/>
      <w:r>
        <w:rPr>
          <w:b w:val="1"/>
          <w:color w:val="auto"/>
          <w:position w:val="0"/>
          <w:sz w:val="24"/>
          <w:szCs w:val="24"/>
          <w:rFonts w:ascii="仿宋" w:eastAsia="仿宋" w:hAnsi="仿宋" w:hint="default"/>
        </w:rPr>
        <w:t>评标办法前附表</w:t>
      </w:r>
      <w:bookmarkEnd w:id="7"/>
      <w:bookmarkEnd w:id="8"/>
    </w:p>
    <w:tb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top w:w="0" w:type="dxa"/>
          <w:right w:w="108" w:type="dxa"/>
          <w:bottom w:w="0" w:type="dxa"/>
        </w:tblCellMar>
        <w:tblW w:w="9335" w:type="dxa"/>
        <w:jc w:val="center"/>
        <w:tblLook w:val="0004A0" w:firstRow="1" w:lastRow="0" w:firstColumn="1" w:lastColumn="0" w:noHBand="0" w:noVBand="1"/>
        <w:tblLayout w:type="fixed"/>
      </w:tblPr>
      <w:tblGrid>
        <w:gridCol w:w="698"/>
        <w:gridCol w:w="1245"/>
        <w:gridCol w:w="2489"/>
        <w:gridCol w:w="4903"/>
      </w:tblGrid>
      <w:tr>
        <w:trPr>
          <w:trHeight w:hRule="exact" w:val="488"/>
        </w:trPr>
        <w:tc>
          <w:tcPr>
            <w:tcW w:type="dxa" w:w="1943"/>
            <w:tcMar>
              <w:left w:w="57" w:type="dxa"/>
              <w:right w:w="57" w:type="dxa"/>
            </w:tcMar>
            <w:vAlign w:val="center"/>
            <w:gridSpan w:val="2"/>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条款号</w:t>
            </w:r>
          </w:p>
        </w:tc>
        <w:tc>
          <w:tcPr>
            <w:tcW w:type="dxa" w:w="2489"/>
            <w:tcMar>
              <w:left w:w="57" w:type="dxa"/>
              <w:right w:w="57" w:type="dxa"/>
            </w:tcMar>
            <w:vAlign w:val="center"/>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评审因素</w:t>
            </w:r>
          </w:p>
        </w:tc>
        <w:tc>
          <w:tcPr>
            <w:tcW w:type="dxa" w:w="4903"/>
            <w:tcMar>
              <w:left w:w="57" w:type="dxa"/>
              <w:right w:w="57" w:type="dxa"/>
            </w:tcMar>
            <w:vAlign w:val="center"/>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评审标准</w:t>
            </w:r>
          </w:p>
        </w:tc>
      </w:tr>
      <w:tr>
        <w:trPr>
          <w:trHeight w:hRule="exact" w:val="488"/>
        </w:trPr>
        <w:tc>
          <w:tcPr>
            <w:tcW w:type="dxa" w:w="698"/>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3.1.1</w:t>
            </w:r>
          </w:p>
        </w:tc>
        <w:tc>
          <w:tcPr>
            <w:tcW w:type="dxa" w:w="1245"/>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形式评审</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标准</w:t>
            </w: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投标人名称</w:t>
            </w:r>
          </w:p>
        </w:tc>
        <w:tc>
          <w:tcPr>
            <w:tcW w:type="dxa" w:w="4903"/>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与营业执照、资质证书、安全生产许可证一致</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投标函签字盖章</w:t>
            </w:r>
          </w:p>
        </w:tc>
        <w:tc>
          <w:tcPr>
            <w:tcW w:type="dxa" w:w="4903"/>
            <w:tcMar>
              <w:left w:w="57" w:type="dxa"/>
              <w:right w:w="57" w:type="dxa"/>
            </w:tcMar>
            <w:vAlign w:val="center"/>
          </w:tcPr>
          <w:p>
            <w:pPr>
              <w:numPr>
                <w:ilvl w:val="0"/>
                <w:numId w:val="0"/>
              </w:numPr>
              <w:jc w:val="left"/>
              <w:spacing w:lineRule="exact" w:line="40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有法定代表人或其委托代理人签字并加盖单位章</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投标文件格式</w:t>
            </w:r>
          </w:p>
        </w:tc>
        <w:tc>
          <w:tcPr>
            <w:tcW w:type="dxa" w:w="4903"/>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符合第八章“投标文件格式”的要求</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报价唯一</w:t>
            </w:r>
          </w:p>
        </w:tc>
        <w:tc>
          <w:tcPr>
            <w:tcW w:type="dxa" w:w="4903"/>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只能有一个有效报价，不允许有调价函。</w:t>
            </w:r>
          </w:p>
        </w:tc>
      </w:tr>
      <w:tr>
        <w:trPr>
          <w:trHeight w:hRule="exact" w:val="488"/>
        </w:trPr>
        <w:tc>
          <w:tcPr>
            <w:tcW w:type="dxa" w:w="698"/>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3.1.2</w:t>
            </w:r>
          </w:p>
        </w:tc>
        <w:tc>
          <w:tcPr>
            <w:tcW w:type="dxa" w:w="1245"/>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资格评审</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标准</w:t>
            </w: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营业执照</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具备有效的营业执照</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安全生产许可证</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具备有效的安全生产许可证</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资质等级</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财务状况</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类似项目业绩</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信誉</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项目经理</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其他要求</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符合第二章“投标人须知前附表”第16项规定</w:t>
            </w:r>
          </w:p>
        </w:tc>
      </w:tr>
      <w:tr>
        <w:trPr>
          <w:trHeight w:hRule="exact" w:val="488"/>
        </w:trPr>
        <w:tc>
          <w:tcPr>
            <w:tcW w:type="dxa" w:w="698"/>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3.1.3</w:t>
            </w:r>
          </w:p>
        </w:tc>
        <w:tc>
          <w:tcPr>
            <w:tcW w:type="dxa" w:w="1245"/>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响应性</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评审标准</w:t>
            </w: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投标内容</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符合第二章“投标人须知”第3项规定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工期</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符合第二章“投标人须知”第3项规定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工程质量</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符合第二章“投标人须知”第3项规定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投标有效期</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符合第二章“投标人须知”第3项规定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权利义务</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符合第四章“合同条款及格式”规定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已标价工程量清单</w:t>
            </w:r>
          </w:p>
        </w:tc>
        <w:tc>
          <w:tcPr>
            <w:tcW w:type="dxa" w:w="4903"/>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符合招标人给出的范围及工程量。</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技术标准和要求</w:t>
            </w:r>
          </w:p>
        </w:tc>
        <w:tc>
          <w:tcPr>
            <w:tcW w:type="dxa" w:w="4903"/>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符合现行国家规范标准规定</w:t>
            </w:r>
          </w:p>
        </w:tc>
      </w:tr>
      <w:tr>
        <w:trPr>
          <w:trHeight w:hRule="exact" w:val="488"/>
        </w:trPr>
        <w:tc>
          <w:tcPr>
            <w:tcW w:type="dxa" w:w="698"/>
            <w:vAlign w:val="center"/>
            <w:vMerge/>
          </w:tcPr>
          <w:p/>
        </w:tc>
        <w:tc>
          <w:tcPr>
            <w:tcW w:type="dxa" w:w="1245"/>
            <w:vAlign w:val="center"/>
            <w:vMerge/>
          </w:tcPr>
          <w:p/>
        </w:tc>
        <w:tc>
          <w:tcPr>
            <w:tcW w:type="dxa" w:w="2489"/>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w:t>
            </w:r>
          </w:p>
        </w:tc>
        <w:tc>
          <w:tcPr>
            <w:tcW w:type="dxa" w:w="4903"/>
            <w:tcMar>
              <w:left w:w="57" w:type="dxa"/>
              <w:right w:w="57" w:type="dxa"/>
            </w:tcMar>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w:t>
            </w:r>
          </w:p>
        </w:tc>
      </w:tr>
    </w:tbl>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br w:type="column"/>
      </w:r>
    </w:p>
    <w:tb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top w:w="0" w:type="dxa"/>
          <w:right w:w="108" w:type="dxa"/>
          <w:bottom w:w="0" w:type="dxa"/>
        </w:tblCellMar>
        <w:tblW w:w="9734" w:type="dxa"/>
        <w:jc w:val="center"/>
        <w:tblLook w:val="0004A0" w:firstRow="1" w:lastRow="0" w:firstColumn="1" w:lastColumn="0" w:noHBand="0" w:noVBand="1"/>
        <w:tblLayout w:type="fixed"/>
      </w:tblPr>
      <w:tblGrid>
        <w:gridCol w:w="754"/>
        <w:gridCol w:w="854"/>
        <w:gridCol w:w="440"/>
        <w:gridCol w:w="826"/>
        <w:gridCol w:w="1668"/>
        <w:gridCol w:w="5192"/>
      </w:tblGrid>
      <w:tr>
        <w:trPr>
          <w:trHeight w:hRule="exact" w:val="567"/>
        </w:trPr>
        <w:tc>
          <w:tcPr>
            <w:tcW w:type="dxa" w:w="754"/>
            <w:tcMar>
              <w:left w:w="57" w:type="dxa"/>
              <w:right w:w="57" w:type="dxa"/>
            </w:tcMar>
            <w:vAlign w:val="center"/>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条款号</w:t>
            </w:r>
          </w:p>
        </w:tc>
        <w:tc>
          <w:tcPr>
            <w:tcW w:type="dxa" w:w="2120"/>
            <w:tcMar>
              <w:left w:w="57" w:type="dxa"/>
              <w:right w:w="57" w:type="dxa"/>
            </w:tcMar>
            <w:vAlign w:val="center"/>
            <w:gridSpan w:val="3"/>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条款内容</w:t>
            </w:r>
          </w:p>
        </w:tc>
        <w:tc>
          <w:tcPr>
            <w:tcW w:type="dxa" w:w="6860"/>
            <w:tcMar>
              <w:left w:w="57" w:type="dxa"/>
              <w:right w:w="57" w:type="dxa"/>
            </w:tcMar>
            <w:vAlign w:val="center"/>
            <w:gridSpan w:val="2"/>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编列内容</w:t>
            </w:r>
          </w:p>
        </w:tc>
      </w:tr>
      <w:tr>
        <w:trPr>
          <w:trHeight w:hRule="atleast" w:val="1117"/>
        </w:trPr>
        <w:tc>
          <w:tcPr>
            <w:tcW w:type="dxa" w:w="754"/>
            <w:tcMar>
              <w:left w:w="57" w:type="dxa"/>
              <w:right w:w="57" w:type="dxa"/>
            </w:tcMar>
            <w:vAlign w:val="center"/>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3.2.1</w:t>
            </w:r>
          </w:p>
        </w:tc>
        <w:tc>
          <w:tcPr>
            <w:tcW w:type="dxa" w:w="2120"/>
            <w:tcMar>
              <w:left w:w="57" w:type="dxa"/>
              <w:right w:w="57" w:type="dxa"/>
            </w:tcMar>
            <w:vAlign w:val="center"/>
            <w:gridSpan w:val="3"/>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分值构成</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（总分100分）</w:t>
            </w:r>
          </w:p>
        </w:tc>
        <w:tc>
          <w:tcPr>
            <w:tcW w:type="dxa" w:w="6860"/>
            <w:tcMar>
              <w:left w:w="57" w:type="dxa"/>
              <w:right w:w="57" w:type="dxa"/>
            </w:tcMar>
            <w:vAlign w:val="center"/>
            <w:gridSpan w:val="2"/>
          </w:tcPr>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评标内容由技术标、商务标和综合标三部分组成。设定三部分不同的权</w:t>
            </w:r>
            <w:r>
              <w:rPr>
                <w:color w:val="auto"/>
                <w:position w:val="0"/>
                <w:sz w:val="21"/>
                <w:szCs w:val="21"/>
                <w:rFonts w:ascii="仿宋" w:eastAsia="仿宋" w:hAnsi="仿宋" w:hint="default"/>
              </w:rPr>
              <w:t>重，经加权后，总分值为100分。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技术标、商务标、综合标权重应按下列比例选用：</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20%    70%   10%</w:t>
            </w:r>
          </w:p>
        </w:tc>
      </w:tr>
      <w:tr>
        <w:trPr>
          <w:trHeight w:hRule="atleast" w:val="998"/>
        </w:trPr>
        <w:tc>
          <w:tcPr>
            <w:tcW w:type="dxa" w:w="754"/>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3.2.2</w:t>
            </w:r>
          </w:p>
        </w:tc>
        <w:tc>
          <w:tcPr>
            <w:tcW w:type="dxa" w:w="854"/>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商务标</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评审</w:t>
            </w:r>
          </w:p>
          <w:p>
            <w:pPr>
              <w:numPr>
                <w:ilvl w:val="0"/>
                <w:numId w:val="0"/>
              </w:numPr>
              <w:jc w:val="center"/>
              <w:spacing w:lineRule="auto" w:line="240" w:before="0" w:after="200"/>
              <w:ind w:right="0" w:firstLine="0"/>
              <w:rPr>
                <w:spacing w:val="20"/>
                <w:color w:val="auto"/>
                <w:position w:val="0"/>
                <w:sz w:val="21"/>
                <w:szCs w:val="21"/>
                <w:rFonts w:ascii="仿宋" w:eastAsia="仿宋" w:hAnsi="仿宋" w:hint="default"/>
              </w:rPr>
              <w:snapToGrid w:val="off"/>
              <w:autoSpaceDE w:val="1"/>
              <w:autoSpaceDN w:val="1"/>
            </w:pPr>
            <w:r>
              <w:rPr>
                <w:spacing w:val="20"/>
                <w:color w:val="auto"/>
                <w:position w:val="0"/>
                <w:sz w:val="21"/>
                <w:szCs w:val="21"/>
                <w:rFonts w:ascii="仿宋" w:eastAsia="仿宋" w:hAnsi="仿宋" w:hint="default"/>
              </w:rPr>
              <w:t>（100</w:t>
            </w:r>
            <w:r>
              <w:rPr>
                <w:spacing w:val="20"/>
                <w:color w:val="auto"/>
                <w:position w:val="0"/>
                <w:sz w:val="21"/>
                <w:szCs w:val="21"/>
                <w:rFonts w:ascii="仿宋" w:eastAsia="仿宋" w:hAnsi="仿宋" w:hint="default"/>
              </w:rPr>
              <w:t>分）</w:t>
            </w:r>
          </w:p>
        </w:tc>
        <w:tc>
          <w:tcPr>
            <w:tcW w:type="dxa" w:w="1266"/>
            <w:vAlign w:val="center"/>
            <w:gridSpan w:val="2"/>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评标基准价</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计算方法</w:t>
            </w:r>
          </w:p>
        </w:tc>
        <w:tc>
          <w:tcPr>
            <w:tcW w:type="dxa" w:w="6860"/>
            <w:vAlign w:val="center"/>
            <w:gridSpan w:val="2"/>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招标人将对本合同工程设置招标控制价，通过初步评审并经谈判后</w:t>
            </w:r>
            <w:r>
              <w:rPr>
                <w:color w:val="auto"/>
                <w:position w:val="0"/>
                <w:sz w:val="21"/>
                <w:szCs w:val="21"/>
                <w:rFonts w:ascii="仿宋" w:eastAsia="仿宋" w:hAnsi="仿宋" w:hint="default"/>
              </w:rPr>
              <w:t>的报价为最终投标价。最终投标价超出招标控制价范围的，其投标文件作</w:t>
            </w:r>
            <w:r>
              <w:rPr>
                <w:color w:val="auto"/>
                <w:position w:val="0"/>
                <w:sz w:val="21"/>
                <w:szCs w:val="21"/>
                <w:rFonts w:ascii="仿宋" w:eastAsia="仿宋" w:hAnsi="仿宋" w:hint="default"/>
              </w:rPr>
              <w:t>废标处理。</w:t>
            </w:r>
          </w:p>
        </w:tc>
      </w:tr>
      <w:tr>
        <w:trPr>
          <w:trHeight w:hRule="atleast" w:val="998"/>
        </w:trPr>
        <w:tc>
          <w:tcPr>
            <w:tcW w:type="dxa" w:w="754"/>
            <w:vAlign w:val="center"/>
            <w:vMerge/>
          </w:tcPr>
          <w:p/>
        </w:tc>
        <w:tc>
          <w:tcPr>
            <w:tcW w:type="dxa" w:w="854"/>
            <w:vAlign w:val="center"/>
            <w:vMerge/>
          </w:tcPr>
          <w:p/>
        </w:tc>
        <w:tc>
          <w:tcPr>
            <w:tcW w:type="dxa" w:w="1266"/>
            <w:vAlign w:val="center"/>
            <w:gridSpan w:val="2"/>
            <w:vMerge/>
          </w:tcPr>
          <w:p/>
        </w:tc>
        <w:tc>
          <w:tcPr>
            <w:tcW w:type="dxa" w:w="6860"/>
            <w:vAlign w:val="center"/>
            <w:gridSpan w:val="2"/>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评标基准价的计算：各有效投标的投标报价中（最终报价），去掉</w:t>
            </w:r>
            <w:r>
              <w:rPr>
                <w:color w:val="auto"/>
                <w:position w:val="0"/>
                <w:sz w:val="21"/>
                <w:szCs w:val="21"/>
                <w:rFonts w:ascii="仿宋" w:eastAsia="仿宋" w:hAnsi="仿宋" w:hint="default"/>
              </w:rPr>
              <w:t>一个最高报价和一个最低报价后的算术平均值。若有效投标少于五家（不</w:t>
            </w:r>
            <w:r>
              <w:rPr>
                <w:color w:val="auto"/>
                <w:position w:val="0"/>
                <w:sz w:val="21"/>
                <w:szCs w:val="21"/>
                <w:rFonts w:ascii="仿宋" w:eastAsia="仿宋" w:hAnsi="仿宋" w:hint="default"/>
              </w:rPr>
              <w:t>含五家），则以所有有效投标的投标报价的算术平均值为评标基准价。</w:t>
            </w:r>
          </w:p>
        </w:tc>
      </w:tr>
      <w:tr>
        <w:trPr>
          <w:trHeight w:hRule="atleast" w:val="2239"/>
        </w:trPr>
        <w:tc>
          <w:tcPr>
            <w:tcW w:type="dxa" w:w="754"/>
            <w:vAlign w:val="center"/>
            <w:vMerge/>
          </w:tcPr>
          <w:p/>
        </w:tc>
        <w:tc>
          <w:tcPr>
            <w:tcW w:type="dxa" w:w="854"/>
            <w:vAlign w:val="center"/>
            <w:vMerge/>
          </w:tcPr>
          <w:p/>
        </w:tc>
        <w:tc>
          <w:tcPr>
            <w:tcW w:type="dxa" w:w="1266"/>
            <w:vAlign w:val="center"/>
            <w:gridSpan w:val="2"/>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商务标的得</w:t>
            </w:r>
            <w:r>
              <w:rPr>
                <w:color w:val="auto"/>
                <w:position w:val="0"/>
                <w:sz w:val="21"/>
                <w:szCs w:val="21"/>
                <w:rFonts w:ascii="仿宋" w:eastAsia="仿宋" w:hAnsi="仿宋" w:hint="default"/>
              </w:rPr>
              <w:t>分计算公式</w:t>
            </w:r>
          </w:p>
        </w:tc>
        <w:tc>
          <w:tcPr>
            <w:tcW w:type="dxa" w:w="6860"/>
            <w:vAlign w:val="center"/>
            <w:gridSpan w:val="2"/>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商务标的得分为：</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（1）投标报价低于评标价的，每低于1.0%扣1分，最多扣20分；</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（2）投标报价高于评标价的，每高于1.0%扣2分，最多扣20分。</w:t>
            </w:r>
          </w:p>
        </w:tc>
      </w:tr>
      <w:tr>
        <w:trPr>
          <w:trHeight w:hRule="atleast" w:val="1119"/>
        </w:trPr>
        <w:tc>
          <w:tcPr>
            <w:tcW w:type="dxa" w:w="754"/>
            <w:tcMar>
              <w:left w:w="57" w:type="dxa"/>
              <w:right w:w="57" w:type="dxa"/>
            </w:tcMar>
            <w:vAlign w:val="center"/>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条款号</w:t>
            </w:r>
          </w:p>
        </w:tc>
        <w:tc>
          <w:tcPr>
            <w:tcW w:type="dxa" w:w="2120"/>
            <w:tcMar>
              <w:left w:w="57" w:type="dxa"/>
              <w:right w:w="57" w:type="dxa"/>
            </w:tcMar>
            <w:vAlign w:val="center"/>
            <w:gridSpan w:val="3"/>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条款内容</w:t>
            </w:r>
          </w:p>
        </w:tc>
        <w:tc>
          <w:tcPr>
            <w:tcW w:type="dxa" w:w="6860"/>
            <w:vAlign w:val="top"/>
            <w:gridSpan w:val="2"/>
            <w:vMerge w:val="restart"/>
          </w:tcPr>
          <w:p>
            <w:pPr>
              <w:numPr>
                <w:ilvl w:val="0"/>
                <w:numId w:val="0"/>
              </w:numPr>
              <w:jc w:val="left"/>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1、施工组织设计应包括以下几项基本内容：</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①主要施工方法                     16分；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②拟投入的主要物资计划              7分；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③拟投入的主要施工机械计划          7分；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④劳动力安排计划                    8分；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⑤确保工程质量的技术组织措施        8分；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⑥确保安全生产的技术组织措施        10分；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⑦确保工期的技术组织措施            8分；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⑧确保文明施工的技术组织措施        6分；</w:t>
            </w:r>
          </w:p>
          <w:p>
            <w:pPr>
              <w:numPr>
                <w:ilvl w:val="0"/>
                <w:numId w:val="0"/>
              </w:numPr>
              <w:jc w:val="left"/>
              <w:spacing w:lineRule="auto" w:line="360" w:before="0" w:after="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⑨施工总进度表和施工网络图         10分；</w:t>
            </w:r>
          </w:p>
          <w:p>
            <w:pPr>
              <w:numPr>
                <w:ilvl w:val="0"/>
                <w:numId w:val="0"/>
              </w:numPr>
              <w:jc w:val="left"/>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2、施工组织设计的针对性                12分；</w:t>
            </w:r>
          </w:p>
          <w:p>
            <w:pPr>
              <w:numPr>
                <w:ilvl w:val="0"/>
                <w:numId w:val="0"/>
              </w:numPr>
              <w:jc w:val="left"/>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 xml:space="preserve">3、施工组织设计的完整性                 8分。</w:t>
            </w:r>
          </w:p>
        </w:tc>
      </w:tr>
      <w:tr>
        <w:trPr>
          <w:trHeight w:hRule="atleast" w:val="3544"/>
        </w:trPr>
        <w:tc>
          <w:tcPr>
            <w:tcW w:type="dxa" w:w="754"/>
            <w:tcMar>
              <w:left w:w="57" w:type="dxa"/>
              <w:right w:w="57" w:type="dxa"/>
            </w:tcMar>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3.2.3</w:t>
            </w:r>
          </w:p>
        </w:tc>
        <w:tc>
          <w:tcPr>
            <w:tcW w:type="dxa" w:w="2120"/>
            <w:tcMar>
              <w:left w:w="57" w:type="dxa"/>
              <w:right w:w="57" w:type="dxa"/>
            </w:tcMar>
            <w:vAlign w:val="center"/>
            <w:gridSpan w:val="3"/>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技术标评审</w:t>
            </w:r>
          </w:p>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（100分）</w:t>
            </w:r>
          </w:p>
        </w:tc>
        <w:tc>
          <w:tcPr>
            <w:tcW w:type="dxa" w:w="6860"/>
            <w:vAlign w:val="top"/>
            <w:gridSpan w:val="2"/>
            <w:vMerge/>
          </w:tcPr>
          <w:p/>
        </w:tc>
      </w:tr>
      <w:tr>
        <w:trPr>
          <w:trHeight w:hRule="exact" w:val="1136"/>
        </w:trPr>
        <w:tc>
          <w:tcPr>
            <w:tcW w:type="dxa" w:w="754"/>
            <w:vAlign w:val="center"/>
            <w:vMerge/>
          </w:tcPr>
          <w:p/>
        </w:tc>
        <w:tc>
          <w:tcPr>
            <w:tcW w:type="dxa" w:w="8980"/>
            <w:tcMar>
              <w:left w:w="57" w:type="dxa"/>
              <w:right w:w="57" w:type="dxa"/>
            </w:tcMar>
            <w:vAlign w:val="center"/>
            <w:gridSpan w:val="5"/>
          </w:tcPr>
          <w:p>
            <w:pPr>
              <w:numPr>
                <w:ilvl w:val="0"/>
                <w:numId w:val="0"/>
              </w:numPr>
              <w:jc w:val="both"/>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备注：1、如施工组织设计基本内容缺项，该项可打零分。</w:t>
            </w:r>
          </w:p>
          <w:p>
            <w:pPr>
              <w:numPr>
                <w:ilvl w:val="0"/>
                <w:numId w:val="0"/>
              </w:numPr>
              <w:jc w:val="both"/>
              <w:spacing w:lineRule="auto" w:line="360" w:before="0" w:after="0"/>
              <w:ind w:left="954" w:right="0" w:hanging="294"/>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2、施工组织设计总分少于70分，视为技术标不合格，评标委员会应注明评分理由。多数</w:t>
            </w:r>
            <w:r>
              <w:rPr>
                <w:color w:val="auto"/>
                <w:position w:val="0"/>
                <w:sz w:val="21"/>
                <w:szCs w:val="21"/>
                <w:rFonts w:ascii="仿宋" w:eastAsia="仿宋" w:hAnsi="仿宋" w:hint="default"/>
              </w:rPr>
              <w:t>评委认为技术标不合格的，则该投标文件作废标处理。</w:t>
            </w:r>
          </w:p>
        </w:tc>
      </w:tr>
      <w:tr>
        <w:trPr>
          <w:trHeight w:hRule="atleast" w:val="567"/>
        </w:trPr>
        <w:tc>
          <w:tcPr>
            <w:tcW w:type="dxa" w:w="2048"/>
            <w:vAlign w:val="center"/>
            <w:gridSpan w:val="3"/>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条款号</w:t>
            </w:r>
          </w:p>
        </w:tc>
        <w:tc>
          <w:tcPr>
            <w:tcW w:type="dxa" w:w="2494"/>
            <w:vAlign w:val="center"/>
            <w:gridSpan w:val="2"/>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评分因素</w:t>
            </w:r>
          </w:p>
        </w:tc>
        <w:tc>
          <w:tcPr>
            <w:tcW w:type="dxa" w:w="5192"/>
            <w:vAlign w:val="center"/>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评分标准</w:t>
            </w:r>
          </w:p>
        </w:tc>
      </w:tr>
      <w:tr>
        <w:trPr>
          <w:trHeight w:hRule="atleast" w:val="680"/>
        </w:trPr>
        <w:tc>
          <w:tcPr>
            <w:tcW w:type="dxa" w:w="754"/>
            <w:vAlign w:val="center"/>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3.2.4</w:t>
            </w:r>
          </w:p>
        </w:tc>
        <w:tc>
          <w:tcPr>
            <w:tcW w:type="dxa" w:w="1294"/>
            <w:vAlign w:val="center"/>
            <w:gridSpan w:val="2"/>
            <w:vMerge w:val="restart"/>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综合标评审</w:t>
            </w:r>
            <w:r>
              <w:rPr>
                <w:color w:val="auto"/>
                <w:position w:val="0"/>
                <w:sz w:val="21"/>
                <w:szCs w:val="21"/>
                <w:rFonts w:ascii="仿宋" w:eastAsia="仿宋" w:hAnsi="仿宋" w:hint="default"/>
              </w:rPr>
              <w:t>（100分）</w:t>
            </w:r>
          </w:p>
        </w:tc>
        <w:tc>
          <w:tcPr>
            <w:tcW w:type="dxa" w:w="826"/>
            <w:vAlign w:val="center"/>
            <w:vMerge w:val="restart"/>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w:t>
            </w:r>
            <w:r>
              <w:rPr>
                <w:color w:val="auto"/>
                <w:position w:val="0"/>
                <w:sz w:val="21"/>
                <w:szCs w:val="21"/>
                <w:rFonts w:ascii="仿宋" w:eastAsia="仿宋" w:hAnsi="仿宋" w:hint="default"/>
              </w:rPr>
              <w:t>班子</w:t>
            </w:r>
            <w:r>
              <w:rPr>
                <w:color w:val="auto"/>
                <w:position w:val="0"/>
                <w:sz w:val="21"/>
                <w:szCs w:val="21"/>
                <w:rFonts w:ascii="仿宋" w:eastAsia="仿宋" w:hAnsi="仿宋" w:hint="default"/>
              </w:rPr>
              <w:t>配备</w:t>
            </w:r>
            <w:r>
              <w:rPr>
                <w:color w:val="auto"/>
                <w:position w:val="0"/>
                <w:sz w:val="21"/>
                <w:szCs w:val="21"/>
                <w:rFonts w:ascii="仿宋" w:eastAsia="仿宋" w:hAnsi="仿宋" w:hint="default"/>
              </w:rPr>
              <w:t>60分</w:t>
            </w:r>
          </w:p>
        </w:tc>
        <w:tc>
          <w:tcPr>
            <w:tcW w:type="dxa" w:w="1668"/>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项目经理20分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项目经理资质等级满足招标文件要求，并明确只</w:t>
            </w:r>
            <w:r>
              <w:rPr>
                <w:color w:val="auto"/>
                <w:position w:val="0"/>
                <w:sz w:val="21"/>
                <w:szCs w:val="21"/>
                <w:rFonts w:ascii="仿宋" w:eastAsia="仿宋" w:hAnsi="仿宋" w:hint="default"/>
              </w:rPr>
              <w:t>承担本工程的得20分</w:t>
            </w:r>
          </w:p>
        </w:tc>
      </w:tr>
      <w:tr>
        <w:trPr>
          <w:trHeight w:hRule="atleast" w:val="680"/>
        </w:trPr>
        <w:tc>
          <w:tcPr>
            <w:tcW w:type="dxa" w:w="754"/>
            <w:vAlign w:val="center"/>
            <w:vMerge/>
          </w:tcPr>
          <w:p/>
        </w:tc>
        <w:tc>
          <w:tcPr>
            <w:tcW w:type="dxa" w:w="1294"/>
            <w:vAlign w:val="center"/>
            <w:gridSpan w:val="2"/>
            <w:vMerge/>
          </w:tcPr>
          <w:p/>
        </w:tc>
        <w:tc>
          <w:tcPr>
            <w:tcW w:type="dxa" w:w="826"/>
            <w:vAlign w:val="center"/>
            <w:vMerge/>
          </w:tcPr>
          <w:p/>
        </w:tc>
        <w:tc>
          <w:tcPr>
            <w:tcW w:type="dxa" w:w="1668"/>
            <w:vAlign w:val="center"/>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项目经理经验</w:t>
            </w:r>
            <w:r>
              <w:rPr>
                <w:color w:val="auto"/>
                <w:position w:val="0"/>
                <w:sz w:val="21"/>
                <w:szCs w:val="21"/>
                <w:rFonts w:ascii="仿宋" w:eastAsia="仿宋" w:hAnsi="仿宋" w:hint="default"/>
              </w:rPr>
              <w:t>20分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项目经理简历表及项目经理近两年类似工程经历</w:t>
            </w:r>
            <w:r>
              <w:rPr>
                <w:color w:val="auto"/>
                <w:position w:val="0"/>
                <w:sz w:val="21"/>
                <w:szCs w:val="21"/>
                <w:rFonts w:ascii="仿宋" w:eastAsia="仿宋" w:hAnsi="仿宋" w:hint="default"/>
              </w:rPr>
              <w:t>（附相关证明文件），酌情评分，该项最高得20分</w:t>
            </w:r>
          </w:p>
        </w:tc>
      </w:tr>
      <w:tr>
        <w:trPr>
          <w:trHeight w:hRule="atleast" w:val="680"/>
        </w:trPr>
        <w:tc>
          <w:tcPr>
            <w:tcW w:type="dxa" w:w="754"/>
            <w:vAlign w:val="center"/>
            <w:vMerge/>
          </w:tcPr>
          <w:p/>
        </w:tc>
        <w:tc>
          <w:tcPr>
            <w:tcW w:type="dxa" w:w="1294"/>
            <w:vAlign w:val="center"/>
            <w:gridSpan w:val="2"/>
            <w:vMerge/>
          </w:tcPr>
          <w:p/>
        </w:tc>
        <w:tc>
          <w:tcPr>
            <w:tcW w:type="dxa" w:w="826"/>
            <w:vAlign w:val="center"/>
            <w:vMerge/>
          </w:tcPr>
          <w:p/>
        </w:tc>
        <w:tc>
          <w:tcPr>
            <w:tcW w:type="dxa" w:w="1668"/>
            <w:vAlign w:val="center"/>
            <w:tcBorders>
              <w:bottom w:val="single" w:color="auto" w:sz="4"/>
            </w:tcBorders>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项目工程师</w:t>
            </w:r>
            <w:r>
              <w:rPr>
                <w:color w:val="auto"/>
                <w:position w:val="0"/>
                <w:sz w:val="21"/>
                <w:szCs w:val="21"/>
                <w:rFonts w:ascii="仿宋" w:eastAsia="仿宋" w:hAnsi="仿宋" w:hint="default"/>
              </w:rPr>
              <w:t>（现场项目技</w:t>
            </w:r>
            <w:r>
              <w:rPr>
                <w:color w:val="auto"/>
                <w:position w:val="0"/>
                <w:sz w:val="21"/>
                <w:szCs w:val="21"/>
                <w:rFonts w:ascii="仿宋" w:eastAsia="仿宋" w:hAnsi="仿宋" w:hint="default"/>
              </w:rPr>
              <w:t>术负责人）资</w:t>
            </w:r>
            <w:r>
              <w:rPr>
                <w:color w:val="auto"/>
                <w:position w:val="0"/>
                <w:sz w:val="21"/>
                <w:szCs w:val="21"/>
                <w:rFonts w:ascii="仿宋" w:eastAsia="仿宋" w:hAnsi="仿宋" w:hint="default"/>
              </w:rPr>
              <w:t>历20分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现场项目技术负责人简历表及近两年类似工程经</w:t>
            </w:r>
            <w:r>
              <w:rPr>
                <w:color w:val="auto"/>
                <w:position w:val="0"/>
                <w:sz w:val="21"/>
                <w:szCs w:val="21"/>
                <w:rFonts w:ascii="仿宋" w:eastAsia="仿宋" w:hAnsi="仿宋" w:hint="default"/>
              </w:rPr>
              <w:t>历（附相关证明文件），酌情评分，该项最高得20分</w:t>
            </w:r>
          </w:p>
        </w:tc>
      </w:tr>
      <w:tr>
        <w:trPr>
          <w:trHeight w:hRule="atleast" w:val="680"/>
        </w:trPr>
        <w:tc>
          <w:tcPr>
            <w:tcW w:type="dxa" w:w="754"/>
            <w:vAlign w:val="center"/>
            <w:vMerge/>
          </w:tcPr>
          <w:p/>
        </w:tc>
        <w:tc>
          <w:tcPr>
            <w:tcW w:type="dxa" w:w="1294"/>
            <w:vAlign w:val="center"/>
            <w:gridSpan w:val="2"/>
            <w:vMerge/>
          </w:tcPr>
          <w:p/>
        </w:tc>
        <w:tc>
          <w:tcPr>
            <w:tcW w:type="dxa" w:w="2494"/>
            <w:vAlign w:val="center"/>
            <w:gridSpan w:val="2"/>
            <w:tcBorders>
              <w:top w:val="single" w:color="auto" w:sz="4"/>
            </w:tcBorders>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项目管理班子人员构成</w:t>
            </w:r>
            <w:r>
              <w:rPr>
                <w:color w:val="auto"/>
                <w:position w:val="0"/>
                <w:sz w:val="21"/>
                <w:szCs w:val="21"/>
                <w:rFonts w:ascii="仿宋" w:eastAsia="仿宋" w:hAnsi="仿宋" w:hint="default"/>
              </w:rPr>
              <w:t>10分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机构健全、人员齐备、专业配套、具备相关岗位</w:t>
            </w:r>
            <w:r>
              <w:rPr>
                <w:color w:val="auto"/>
                <w:position w:val="0"/>
                <w:sz w:val="21"/>
                <w:szCs w:val="21"/>
                <w:rFonts w:ascii="仿宋" w:eastAsia="仿宋" w:hAnsi="仿宋" w:hint="default"/>
              </w:rPr>
              <w:t>证书；主要技术、经济、管理人员素质高、业绩优，</w:t>
            </w:r>
            <w:r>
              <w:rPr>
                <w:color w:val="auto"/>
                <w:position w:val="0"/>
                <w:sz w:val="21"/>
                <w:szCs w:val="21"/>
                <w:rFonts w:ascii="仿宋" w:eastAsia="仿宋" w:hAnsi="仿宋" w:hint="default"/>
              </w:rPr>
              <w:t>酌情评分，该项最高得10分</w:t>
            </w:r>
          </w:p>
        </w:tc>
      </w:tr>
      <w:tr>
        <w:trPr>
          <w:trHeight w:hRule="atleast" w:val="680"/>
        </w:trPr>
        <w:tc>
          <w:tcPr>
            <w:tcW w:type="dxa" w:w="754"/>
            <w:vAlign w:val="center"/>
            <w:vMerge/>
          </w:tcPr>
          <w:p/>
        </w:tc>
        <w:tc>
          <w:tcPr>
            <w:tcW w:type="dxa" w:w="1294"/>
            <w:vAlign w:val="center"/>
            <w:gridSpan w:val="2"/>
            <w:vMerge/>
          </w:tcPr>
          <w:p/>
        </w:tc>
        <w:tc>
          <w:tcPr>
            <w:tcW w:type="dxa" w:w="2494"/>
            <w:vAlign w:val="center"/>
            <w:gridSpan w:val="2"/>
            <w:vMerge w:val="restart"/>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投标工期10分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投标工期满足招标文件要求的得5分；不满足招</w:t>
            </w:r>
            <w:r>
              <w:rPr>
                <w:color w:val="auto"/>
                <w:position w:val="0"/>
                <w:sz w:val="21"/>
                <w:szCs w:val="21"/>
                <w:rFonts w:ascii="仿宋" w:eastAsia="仿宋" w:hAnsi="仿宋" w:hint="default"/>
              </w:rPr>
              <w:t>标文件要求的，作废标处理。</w:t>
            </w:r>
          </w:p>
        </w:tc>
      </w:tr>
      <w:tr>
        <w:trPr>
          <w:trHeight w:hRule="atleast" w:val="680"/>
        </w:trPr>
        <w:tc>
          <w:tcPr>
            <w:tcW w:type="dxa" w:w="754"/>
            <w:vAlign w:val="center"/>
            <w:vMerge/>
          </w:tcPr>
          <w:p/>
        </w:tc>
        <w:tc>
          <w:tcPr>
            <w:tcW w:type="dxa" w:w="1294"/>
            <w:vAlign w:val="center"/>
            <w:gridSpan w:val="2"/>
            <w:vMerge/>
          </w:tcPr>
          <w:p/>
        </w:tc>
        <w:tc>
          <w:tcPr>
            <w:tcW w:type="dxa" w:w="2494"/>
            <w:vAlign w:val="center"/>
            <w:gridSpan w:val="2"/>
            <w:vMerge/>
          </w:tcP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对工期有承诺，有违约经济处罚措施，且合理可</w:t>
            </w:r>
            <w:r>
              <w:rPr>
                <w:color w:val="auto"/>
                <w:position w:val="0"/>
                <w:sz w:val="21"/>
                <w:szCs w:val="21"/>
                <w:rFonts w:ascii="仿宋" w:eastAsia="仿宋" w:hAnsi="仿宋" w:hint="default"/>
              </w:rPr>
              <w:t>行，酌情评分，该项最高得5分</w:t>
            </w:r>
          </w:p>
        </w:tc>
      </w:tr>
      <w:tr>
        <w:trPr>
          <w:trHeight w:hRule="atleast" w:val="680"/>
        </w:trPr>
        <w:tc>
          <w:tcPr>
            <w:tcW w:type="dxa" w:w="754"/>
            <w:vAlign w:val="center"/>
            <w:vMerge/>
          </w:tcPr>
          <w:p/>
        </w:tc>
        <w:tc>
          <w:tcPr>
            <w:tcW w:type="dxa" w:w="1294"/>
            <w:vAlign w:val="center"/>
            <w:gridSpan w:val="2"/>
            <w:vMerge/>
          </w:tcPr>
          <w:p/>
        </w:tc>
        <w:tc>
          <w:tcPr>
            <w:tcW w:type="dxa" w:w="2494"/>
            <w:vAlign w:val="center"/>
            <w:gridSpan w:val="2"/>
            <w:vMerge w:val="restart"/>
          </w:tcPr>
          <w:p>
            <w:pPr>
              <w:numPr>
                <w:ilvl w:val="0"/>
                <w:numId w:val="0"/>
              </w:numPr>
              <w:jc w:val="left"/>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工程质量、文明施工、安</w:t>
            </w:r>
            <w:r>
              <w:rPr>
                <w:color w:val="auto"/>
                <w:position w:val="0"/>
                <w:sz w:val="21"/>
                <w:szCs w:val="21"/>
                <w:rFonts w:ascii="仿宋" w:eastAsia="仿宋" w:hAnsi="仿宋" w:hint="default"/>
              </w:rPr>
              <w:t>全生产目标20分</w:t>
            </w: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工程质量、文明施工、安全生产管理目标满足招标</w:t>
            </w:r>
            <w:r>
              <w:rPr>
                <w:color w:val="auto"/>
                <w:position w:val="0"/>
                <w:sz w:val="21"/>
                <w:szCs w:val="21"/>
                <w:rFonts w:ascii="仿宋" w:eastAsia="仿宋" w:hAnsi="仿宋" w:hint="default"/>
              </w:rPr>
              <w:t>文件要求的得10分，不满足招标文件要求的，作废标</w:t>
            </w:r>
            <w:r>
              <w:rPr>
                <w:color w:val="auto"/>
                <w:position w:val="0"/>
                <w:sz w:val="21"/>
                <w:szCs w:val="21"/>
                <w:rFonts w:ascii="仿宋" w:eastAsia="仿宋" w:hAnsi="仿宋" w:hint="default"/>
              </w:rPr>
              <w:t>处理。</w:t>
            </w:r>
          </w:p>
        </w:tc>
      </w:tr>
      <w:tr>
        <w:trPr>
          <w:trHeight w:hRule="atleast" w:val="680"/>
        </w:trPr>
        <w:tc>
          <w:tcPr>
            <w:tcW w:type="dxa" w:w="754"/>
            <w:vAlign w:val="center"/>
            <w:vMerge/>
          </w:tcPr>
          <w:p/>
        </w:tc>
        <w:tc>
          <w:tcPr>
            <w:tcW w:type="dxa" w:w="1294"/>
            <w:vAlign w:val="center"/>
            <w:gridSpan w:val="2"/>
            <w:vMerge/>
          </w:tcPr>
          <w:p/>
        </w:tc>
        <w:tc>
          <w:tcPr>
            <w:tcW w:type="dxa" w:w="2494"/>
            <w:vAlign w:val="center"/>
            <w:gridSpan w:val="2"/>
            <w:vMerge/>
          </w:tcPr>
          <w:p/>
        </w:tc>
        <w:tc>
          <w:tcPr>
            <w:tcW w:type="dxa" w:w="5192"/>
            <w:vAlign w:val="center"/>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对工程质量、文明施工、安全生产管理目标有承诺，</w:t>
            </w:r>
            <w:r>
              <w:rPr>
                <w:color w:val="auto"/>
                <w:position w:val="0"/>
                <w:sz w:val="21"/>
                <w:szCs w:val="21"/>
                <w:rFonts w:ascii="仿宋" w:eastAsia="仿宋" w:hAnsi="仿宋" w:hint="default"/>
              </w:rPr>
              <w:t>有违约经济处罚措施，且合理可行，酌情评分，该项</w:t>
            </w:r>
            <w:r>
              <w:rPr>
                <w:color w:val="auto"/>
                <w:position w:val="0"/>
                <w:sz w:val="21"/>
                <w:szCs w:val="21"/>
                <w:rFonts w:ascii="仿宋" w:eastAsia="仿宋" w:hAnsi="仿宋" w:hint="default"/>
              </w:rPr>
              <w:t>最高得10分。</w:t>
            </w:r>
          </w:p>
        </w:tc>
      </w:tr>
      <w:tr>
        <w:trPr>
          <w:trHeight w:hRule="atleast" w:val="567"/>
        </w:trPr>
        <w:tc>
          <w:tcPr>
            <w:tcW w:type="dxa" w:w="2048"/>
            <w:vAlign w:val="center"/>
            <w:gridSpan w:val="3"/>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条款号</w:t>
            </w:r>
          </w:p>
        </w:tc>
        <w:tc>
          <w:tcPr>
            <w:tcW w:type="dxa" w:w="7686"/>
            <w:vAlign w:val="center"/>
            <w:gridSpan w:val="3"/>
          </w:tcPr>
          <w:p>
            <w:pPr>
              <w:numPr>
                <w:ilvl w:val="0"/>
                <w:numId w:val="0"/>
              </w:numPr>
              <w:jc w:val="center"/>
              <w:spacing w:lineRule="auto" w:line="240" w:before="0" w:after="200"/>
              <w:ind w:right="0" w:firstLine="0"/>
              <w:rPr>
                <w:b w:val="1"/>
                <w:color w:val="auto"/>
                <w:position w:val="0"/>
                <w:sz w:val="21"/>
                <w:szCs w:val="21"/>
                <w:rFonts w:ascii="仿宋" w:eastAsia="仿宋" w:hAnsi="仿宋" w:hint="default"/>
              </w:rPr>
              <w:snapToGrid w:val="off"/>
              <w:autoSpaceDE w:val="1"/>
              <w:autoSpaceDN w:val="1"/>
            </w:pPr>
            <w:r>
              <w:rPr>
                <w:b w:val="1"/>
                <w:color w:val="auto"/>
                <w:position w:val="0"/>
                <w:sz w:val="21"/>
                <w:szCs w:val="21"/>
                <w:rFonts w:ascii="仿宋" w:eastAsia="仿宋" w:hAnsi="仿宋" w:hint="default"/>
              </w:rPr>
              <w:t>编列内容</w:t>
            </w:r>
          </w:p>
        </w:tc>
      </w:tr>
      <w:tr>
        <w:trPr>
          <w:trHeight w:hRule="atleast" w:val="3111"/>
        </w:trPr>
        <w:tc>
          <w:tcPr>
            <w:tcW w:type="dxa" w:w="754"/>
            <w:vAlign w:val="center"/>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3.2.5</w:t>
            </w:r>
          </w:p>
        </w:tc>
        <w:tc>
          <w:tcPr>
            <w:tcW w:type="dxa" w:w="1294"/>
            <w:vAlign w:val="center"/>
            <w:gridSpan w:val="2"/>
          </w:tcPr>
          <w:p>
            <w:pPr>
              <w:numPr>
                <w:ilvl w:val="0"/>
                <w:numId w:val="0"/>
              </w:numPr>
              <w:jc w:val="center"/>
              <w:spacing w:lineRule="auto" w:line="240" w:before="0" w:after="20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计分办法</w:t>
            </w:r>
          </w:p>
        </w:tc>
        <w:tc>
          <w:tcPr>
            <w:tcW w:type="dxa" w:w="7686"/>
            <w:vAlign w:val="center"/>
            <w:gridSpan w:val="3"/>
          </w:tcPr>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1、评标委员会成员按照招标文件和本办法上述有关规定，给各投标文件评分，</w:t>
            </w:r>
            <w:r>
              <w:rPr>
                <w:color w:val="auto"/>
                <w:position w:val="0"/>
                <w:sz w:val="21"/>
                <w:szCs w:val="21"/>
                <w:rFonts w:ascii="仿宋" w:eastAsia="仿宋" w:hAnsi="仿宋" w:hint="default"/>
              </w:rPr>
              <w:t>并按下列公式确定各投标人的评定分数：</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评定分数=技术标得分×技术标权重</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+商务标得分×商务标权重</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+综合标得分×综合标权重</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2、各投标人投标的最终得分为各评委所评定分数的算术平均值。</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3、各项统计、评分结果均按四舍五入方法精确到小数点后两位。</w:t>
            </w:r>
          </w:p>
          <w:p>
            <w:pPr>
              <w:numPr>
                <w:ilvl w:val="0"/>
                <w:numId w:val="0"/>
              </w:numPr>
              <w:jc w:val="left"/>
              <w:spacing w:lineRule="auto" w:line="240" w:before="0" w:after="200"/>
              <w:ind w:right="0" w:firstLine="42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4、评标委员会根据各投标人投标的最终评分，按高低次序确定投标人最终的</w:t>
            </w:r>
            <w:r>
              <w:rPr>
                <w:color w:val="auto"/>
                <w:position w:val="0"/>
                <w:sz w:val="21"/>
                <w:szCs w:val="21"/>
                <w:rFonts w:ascii="仿宋" w:eastAsia="仿宋" w:hAnsi="仿宋" w:hint="default"/>
              </w:rPr>
              <w:t>排列名次，并按照招标文件中规定推荐两名有排序的合格的中标候选人。如果投标</w:t>
            </w:r>
            <w:r>
              <w:rPr>
                <w:color w:val="auto"/>
                <w:position w:val="0"/>
                <w:sz w:val="21"/>
                <w:szCs w:val="21"/>
                <w:rFonts w:ascii="仿宋" w:eastAsia="仿宋" w:hAnsi="仿宋" w:hint="default"/>
              </w:rPr>
              <w:t>人的最终评分相同，则投标报价低的投标人排名优先。</w:t>
            </w:r>
          </w:p>
        </w:tc>
      </w:tr>
    </w:tbl>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1.评标方法</w:t>
      </w:r>
      <w:bookmarkEnd w:id="9"/>
      <w:bookmarkEnd w:id="10"/>
      <w:bookmarkEnd w:id="11"/>
      <w:r>
        <w:rPr>
          <w:color w:val="auto"/>
          <w:position w:val="0"/>
          <w:sz w:val="24"/>
          <w:szCs w:val="24"/>
          <w:rFonts w:ascii="仿宋" w:eastAsia="仿宋" w:hAnsi="仿宋" w:hint="default"/>
        </w:rPr>
        <w:t>（正文部分）</w:t>
      </w:r>
    </w:p>
    <w:p>
      <w:pPr>
        <w:numPr>
          <w:ilvl w:val="0"/>
          <w:numId w:val="0"/>
        </w:numPr>
        <w:jc w:val="both"/>
        <w:spacing w:lineRule="auto" w:line="360" w:before="0" w:after="0"/>
        <w:ind w:right="0" w:firstLine="480"/>
        <w:tabs>
          <w:tab w:val="left" w:pos="832"/>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根据《中华人民共和国招标投标法》、《湖北省招标投标综合管理办法》</w:t>
      </w:r>
      <w:r>
        <w:rPr>
          <w:color w:val="auto"/>
          <w:position w:val="0"/>
          <w:sz w:val="24"/>
          <w:szCs w:val="24"/>
          <w:rFonts w:ascii="仿宋" w:eastAsia="Times New Roman" w:hAnsi="Times New Roman" w:hint="default"/>
        </w:rPr>
        <w:t>，结合本工程实际情况，制定本办法。</w:t>
      </w:r>
    </w:p>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bookmarkStart w:id="12" w:name="_Toc420764375"/>
      <w:bookmarkStart w:id="13" w:name="_Toc420778142"/>
      <w:bookmarkStart w:id="14" w:name="_Toc448855852"/>
      <w:r>
        <w:rPr>
          <w:color w:val="auto"/>
          <w:position w:val="0"/>
          <w:sz w:val="24"/>
          <w:szCs w:val="24"/>
          <w:rFonts w:ascii="仿宋" w:eastAsia="仿宋" w:hAnsi="仿宋" w:hint="default"/>
        </w:rPr>
        <w:t>1.1评标组织机构</w:t>
      </w:r>
      <w:bookmarkEnd w:id="12"/>
      <w:bookmarkEnd w:id="13"/>
      <w:bookmarkEnd w:id="14"/>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w:t>
      </w:r>
      <w:r>
        <w:rPr>
          <w:color w:val="auto"/>
          <w:position w:val="0"/>
          <w:sz w:val="24"/>
          <w:szCs w:val="24"/>
          <w:rFonts w:ascii="仿宋" w:eastAsia="Times New Roman" w:hAnsi="Times New Roman" w:hint="default"/>
        </w:rPr>
        <w:t>.</w:t>
      </w:r>
      <w:r>
        <w:rPr>
          <w:color w:val="auto"/>
          <w:position w:val="0"/>
          <w:sz w:val="24"/>
          <w:szCs w:val="24"/>
          <w:rFonts w:ascii="仿宋" w:eastAsia="仿宋" w:hAnsi="仿宋" w:hint="default"/>
        </w:rPr>
        <w:t>1.</w:t>
      </w:r>
      <w:r>
        <w:rPr>
          <w:color w:val="auto"/>
          <w:position w:val="0"/>
          <w:sz w:val="24"/>
          <w:szCs w:val="24"/>
          <w:rFonts w:ascii="仿宋" w:eastAsia="Times New Roman" w:hAnsi="Times New Roman" w:hint="default"/>
        </w:rPr>
        <w:t>1</w:t>
      </w:r>
      <w:r>
        <w:rPr>
          <w:color w:val="auto"/>
          <w:position w:val="0"/>
          <w:sz w:val="24"/>
          <w:szCs w:val="24"/>
          <w:rFonts w:ascii="仿宋" w:eastAsia="仿宋" w:hAnsi="仿宋" w:hint="default"/>
        </w:rPr>
        <w:t>本次评标由依法组建的</w:t>
      </w:r>
      <w:r>
        <w:rPr>
          <w:color w:val="auto"/>
          <w:position w:val="0"/>
          <w:sz w:val="24"/>
          <w:szCs w:val="24"/>
          <w:rFonts w:ascii="仿宋" w:eastAsia="宋体" w:hAnsi="宋体" w:hint="default"/>
        </w:rPr>
        <w:t>评标委员会成员人数为5人以上</w:t>
      </w:r>
      <w:r>
        <w:rPr>
          <w:color w:val="auto"/>
          <w:position w:val="0"/>
          <w:sz w:val="24"/>
          <w:szCs w:val="24"/>
          <w:rFonts w:ascii="仿宋" w:eastAsia="仿宋" w:hAnsi="仿宋" w:hint="default"/>
        </w:rPr>
        <w:t>（或5人）</w:t>
      </w:r>
      <w:r>
        <w:rPr>
          <w:color w:val="auto"/>
          <w:position w:val="0"/>
          <w:sz w:val="24"/>
          <w:szCs w:val="24"/>
          <w:rFonts w:ascii="仿宋" w:eastAsia="宋体" w:hAnsi="宋体" w:hint="default"/>
        </w:rPr>
        <w:t>的单数，</w:t>
      </w:r>
      <w:r>
        <w:rPr>
          <w:color w:val="auto"/>
          <w:position w:val="0"/>
          <w:sz w:val="24"/>
          <w:szCs w:val="24"/>
          <w:rFonts w:ascii="仿宋" w:eastAsia="仿宋" w:hAnsi="仿宋" w:hint="default"/>
        </w:rPr>
        <w:t>由内部资深工程管理人员和财务经济管理人员组成</w:t>
      </w:r>
      <w:r>
        <w:rPr>
          <w:color w:val="auto"/>
          <w:position w:val="0"/>
          <w:sz w:val="24"/>
          <w:szCs w:val="24"/>
          <w:rFonts w:ascii="仿宋" w:eastAsia="宋体" w:hAnsi="宋体" w:hint="default"/>
        </w:rPr>
        <w:t>。</w:t>
      </w:r>
    </w:p>
    <w:p>
      <w:pPr>
        <w:numPr>
          <w:ilvl w:val="0"/>
          <w:numId w:val="0"/>
        </w:numPr>
        <w:jc w:val="both"/>
        <w:spacing w:lineRule="auto" w:line="360" w:before="0" w:after="0"/>
        <w:ind w:right="-109" w:firstLine="480"/>
        <w:rPr>
          <w:color w:val="auto"/>
          <w:position w:val="0"/>
          <w:sz w:val="24"/>
          <w:szCs w:val="24"/>
          <w:rFonts w:ascii="仿宋" w:eastAsia="MingLiU" w:hAnsi="MingLiU" w:hint="default"/>
        </w:rPr>
        <w:snapToGrid w:val="off"/>
        <w:autoSpaceDE w:val="0"/>
        <w:autoSpaceDN w:val="0"/>
      </w:pPr>
      <w:r>
        <w:rPr>
          <w:color w:val="auto"/>
          <w:position w:val="0"/>
          <w:sz w:val="24"/>
          <w:szCs w:val="24"/>
          <w:rFonts w:ascii="仿宋" w:eastAsia="仿宋" w:hAnsi="仿宋" w:hint="default"/>
        </w:rPr>
        <w:t>1</w:t>
      </w:r>
      <w:r>
        <w:rPr>
          <w:color w:val="auto"/>
          <w:position w:val="0"/>
          <w:sz w:val="24"/>
          <w:szCs w:val="24"/>
          <w:rFonts w:ascii="仿宋" w:eastAsia="Times New Roman" w:hAnsi="Times New Roman" w:hint="default"/>
        </w:rPr>
        <w:t>.</w:t>
      </w:r>
      <w:r>
        <w:rPr>
          <w:color w:val="auto"/>
          <w:position w:val="0"/>
          <w:sz w:val="24"/>
          <w:szCs w:val="24"/>
          <w:rFonts w:ascii="仿宋" w:eastAsia="仿宋" w:hAnsi="仿宋" w:hint="default"/>
        </w:rPr>
        <w:t>1.2评标</w:t>
      </w:r>
      <w:r>
        <w:rPr>
          <w:spacing w:val="1"/>
          <w:color w:val="auto"/>
          <w:position w:val="0"/>
          <w:sz w:val="24"/>
          <w:szCs w:val="24"/>
          <w:rFonts w:ascii="仿宋" w:eastAsia="仿宋" w:hAnsi="仿宋" w:hint="default"/>
        </w:rPr>
        <w:t>委</w:t>
      </w:r>
      <w:r>
        <w:rPr>
          <w:color w:val="auto"/>
          <w:position w:val="0"/>
          <w:sz w:val="24"/>
          <w:szCs w:val="24"/>
          <w:rFonts w:ascii="仿宋" w:eastAsia="仿宋" w:hAnsi="仿宋" w:hint="default"/>
        </w:rPr>
        <w:t>员会按照</w:t>
      </w:r>
      <w:r>
        <w:rPr>
          <w:spacing w:val="1"/>
          <w:color w:val="auto"/>
          <w:position w:val="0"/>
          <w:sz w:val="24"/>
          <w:szCs w:val="24"/>
          <w:rFonts w:ascii="仿宋" w:eastAsia="仿宋" w:hAnsi="仿宋" w:hint="default"/>
        </w:rPr>
        <w:t>得分</w:t>
      </w:r>
      <w:r>
        <w:rPr>
          <w:color w:val="auto"/>
          <w:position w:val="0"/>
          <w:sz w:val="24"/>
          <w:szCs w:val="24"/>
          <w:rFonts w:ascii="仿宋" w:eastAsia="仿宋" w:hAnsi="仿宋" w:hint="default"/>
        </w:rPr>
        <w:t>由高到低的顺序推荐3名中标候选人。</w:t>
      </w:r>
    </w:p>
    <w:p>
      <w:pPr>
        <w:numPr>
          <w:ilvl w:val="0"/>
          <w:numId w:val="0"/>
        </w:numPr>
        <w:jc w:val="both"/>
        <w:spacing w:lineRule="auto" w:line="360" w:before="0" w:after="0"/>
        <w:ind w:right="0" w:firstLine="482"/>
        <w:rPr>
          <w:color w:val="auto"/>
          <w:position w:val="0"/>
          <w:sz w:val="24"/>
          <w:szCs w:val="24"/>
          <w:rFonts w:ascii="仿宋" w:eastAsia="宋体" w:hAnsi="宋体" w:hint="default"/>
        </w:rPr>
        <w:snapToGrid w:val="off"/>
        <w:autoSpaceDE w:val="1"/>
        <w:autoSpaceDN w:val="1"/>
      </w:pPr>
      <w:r>
        <w:rPr>
          <w:spacing w:val="1"/>
          <w:color w:val="auto"/>
          <w:position w:val="0"/>
          <w:sz w:val="24"/>
          <w:szCs w:val="24"/>
          <w:rFonts w:ascii="仿宋" w:eastAsia="仿宋" w:hAnsi="仿宋" w:hint="default"/>
        </w:rPr>
        <w:t>1.1.3</w:t>
      </w:r>
      <w:r>
        <w:rPr>
          <w:color w:val="auto"/>
          <w:position w:val="0"/>
          <w:sz w:val="24"/>
          <w:szCs w:val="24"/>
          <w:rFonts w:ascii="仿宋" w:eastAsia="仿宋" w:hAnsi="仿宋" w:hint="default"/>
        </w:rPr>
        <w:t>评标</w:t>
      </w:r>
      <w:r>
        <w:rPr>
          <w:spacing w:val="-1"/>
          <w:color w:val="auto"/>
          <w:position w:val="0"/>
          <w:sz w:val="24"/>
          <w:szCs w:val="24"/>
          <w:rFonts w:ascii="仿宋" w:eastAsia="仿宋" w:hAnsi="仿宋" w:hint="default"/>
        </w:rPr>
        <w:t>委</w:t>
      </w:r>
      <w:r>
        <w:rPr>
          <w:color w:val="auto"/>
          <w:position w:val="0"/>
          <w:sz w:val="24"/>
          <w:szCs w:val="24"/>
          <w:rFonts w:ascii="仿宋" w:eastAsia="仿宋" w:hAnsi="仿宋" w:hint="default"/>
        </w:rPr>
        <w:t>员会完成评标后，向招标人提交书面评标报告后自动解散。</w:t>
      </w:r>
    </w:p>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bookmarkStart w:id="15" w:name="_Toc420764376"/>
      <w:bookmarkStart w:id="16" w:name="_Toc420778143"/>
      <w:bookmarkStart w:id="17" w:name="_Toc448855853"/>
      <w:r>
        <w:rPr>
          <w:color w:val="auto"/>
          <w:position w:val="0"/>
          <w:sz w:val="24"/>
          <w:szCs w:val="24"/>
          <w:rFonts w:ascii="仿宋" w:eastAsia="仿宋" w:hAnsi="仿宋" w:hint="default"/>
        </w:rPr>
        <w:t>1.2评标原则</w:t>
      </w:r>
      <w:bookmarkEnd w:id="15"/>
      <w:bookmarkEnd w:id="16"/>
      <w:bookmarkEnd w:id="17"/>
    </w:p>
    <w:p>
      <w:pPr>
        <w:numPr>
          <w:ilvl w:val="0"/>
          <w:numId w:val="0"/>
        </w:numPr>
        <w:jc w:val="both"/>
        <w:spacing w:lineRule="auto" w:line="360" w:before="0" w:after="0"/>
        <w:ind w:right="0" w:firstLine="480"/>
        <w:tabs>
          <w:tab w:val="left" w:pos="416"/>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(1)遵循公平、公正、科学、择优的原则。</w:t>
      </w:r>
    </w:p>
    <w:p>
      <w:pPr>
        <w:numPr>
          <w:ilvl w:val="0"/>
          <w:numId w:val="0"/>
        </w:numPr>
        <w:jc w:val="both"/>
        <w:spacing w:lineRule="auto" w:line="360" w:before="0" w:after="0"/>
        <w:ind w:right="0" w:firstLine="480"/>
        <w:tabs>
          <w:tab w:val="left" w:pos="416"/>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(2)依据：</w:t>
      </w:r>
    </w:p>
    <w:p>
      <w:pPr>
        <w:numPr>
          <w:ilvl w:val="0"/>
          <w:numId w:val="0"/>
        </w:numPr>
        <w:jc w:val="both"/>
        <w:spacing w:lineRule="auto" w:line="360" w:before="0" w:after="0"/>
        <w:ind w:right="0" w:firstLine="840"/>
        <w:tabs>
          <w:tab w:val="left" w:pos="416"/>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Times New Roman" w:hAnsi="Times New Roman" w:hint="default"/>
        </w:rPr>
        <w:t>a</w:t>
      </w:r>
      <w:r>
        <w:rPr>
          <w:color w:val="auto"/>
          <w:position w:val="0"/>
          <w:sz w:val="24"/>
          <w:szCs w:val="24"/>
          <w:rFonts w:ascii="仿宋" w:eastAsia="仿宋" w:hAnsi="仿宋" w:hint="default"/>
        </w:rPr>
        <w:t>招标文件及招标人的补充通知；</w:t>
      </w:r>
    </w:p>
    <w:p>
      <w:pPr>
        <w:numPr>
          <w:ilvl w:val="0"/>
          <w:numId w:val="0"/>
        </w:numPr>
        <w:jc w:val="both"/>
        <w:spacing w:lineRule="auto" w:line="360" w:before="0" w:after="0"/>
        <w:ind w:right="0" w:firstLine="840"/>
        <w:tabs>
          <w:tab w:val="left" w:pos="416"/>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Times New Roman" w:hAnsi="Times New Roman" w:hint="default"/>
        </w:rPr>
        <w:t>b</w:t>
      </w:r>
      <w:r>
        <w:rPr>
          <w:color w:val="auto"/>
          <w:position w:val="0"/>
          <w:sz w:val="24"/>
          <w:szCs w:val="24"/>
          <w:rFonts w:ascii="仿宋" w:eastAsia="仿宋" w:hAnsi="仿宋" w:hint="default"/>
        </w:rPr>
        <w:t>有效的投标文件及评标要求澄清的文件；</w:t>
      </w:r>
    </w:p>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bookmarkStart w:id="18" w:name="_Toc420764377"/>
      <w:bookmarkStart w:id="19" w:name="_Toc420778144"/>
      <w:bookmarkStart w:id="20" w:name="_Toc448855854"/>
      <w:r>
        <w:rPr>
          <w:color w:val="auto"/>
          <w:position w:val="0"/>
          <w:sz w:val="24"/>
          <w:szCs w:val="24"/>
          <w:rFonts w:ascii="仿宋" w:eastAsia="仿宋" w:hAnsi="仿宋" w:hint="default"/>
        </w:rPr>
        <w:t xml:space="preserve">1.3 评标程序</w:t>
      </w:r>
      <w:bookmarkEnd w:id="18"/>
      <w:bookmarkEnd w:id="19"/>
      <w:bookmarkEnd w:id="20"/>
    </w:p>
    <w:p>
      <w:pPr>
        <w:numPr>
          <w:ilvl w:val="0"/>
          <w:numId w:val="0"/>
        </w:numPr>
        <w:jc w:val="both"/>
        <w:spacing w:lineRule="auto" w:line="360" w:before="0" w:after="0"/>
        <w:ind w:left="1"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评标按两个阶段进行，即初步评审和详细评审。</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 xml:space="preserve">(一) 评标准备</w:t>
      </w:r>
    </w:p>
    <w:p>
      <w:pPr>
        <w:numPr>
          <w:ilvl w:val="0"/>
          <w:numId w:val="0"/>
        </w:numPr>
        <w:jc w:val="both"/>
        <w:spacing w:lineRule="auto" w:line="360" w:before="0" w:after="0"/>
        <w:ind w:right="0" w:firstLine="480"/>
        <w:tabs>
          <w:tab w:val="left" w:pos="832"/>
        </w:tabs>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评标委员会成员研究招标文件，熟悉评标办法，掌握评标程序、标准和方法，</w:t>
      </w:r>
      <w:r>
        <w:rPr>
          <w:color w:val="auto"/>
          <w:position w:val="0"/>
          <w:sz w:val="24"/>
          <w:szCs w:val="24"/>
          <w:rFonts w:ascii="仿宋" w:eastAsia="仿宋" w:hAnsi="仿宋" w:hint="default"/>
        </w:rPr>
        <w:t>编制供评标使用的相应表格。</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(二)</w:t>
      </w:r>
      <w:r>
        <w:rPr>
          <w:color w:val="auto"/>
          <w:position w:val="0"/>
          <w:sz w:val="24"/>
          <w:szCs w:val="24"/>
          <w:rFonts w:ascii="仿宋" w:eastAsia="Times New Roman" w:hAnsi="Times New Roman" w:hint="default"/>
        </w:rPr>
        <w:t xml:space="preserve"> </w:t>
      </w:r>
      <w:r>
        <w:rPr>
          <w:color w:val="auto"/>
          <w:position w:val="0"/>
          <w:sz w:val="24"/>
          <w:szCs w:val="24"/>
          <w:rFonts w:ascii="仿宋" w:eastAsia="仿宋" w:hAnsi="仿宋" w:hint="default"/>
        </w:rPr>
        <w:t>初步评审</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(1)</w:t>
      </w:r>
      <w:r>
        <w:rPr>
          <w:b w:val="1"/>
          <w:color w:val="auto"/>
          <w:position w:val="0"/>
          <w:sz w:val="24"/>
          <w:szCs w:val="24"/>
          <w:rFonts w:ascii="仿宋" w:eastAsia="Times New Roman" w:hAnsi="Times New Roman" w:hint="default"/>
        </w:rPr>
        <w:t>初审</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Times New Roman" w:hAnsi="Times New Roman" w:hint="default"/>
        </w:rPr>
        <w:t>主要依据本条规定对投标文件的商务符合性和技术可靠性进行评审。投标文</w:t>
      </w:r>
      <w:r>
        <w:rPr>
          <w:color w:val="auto"/>
          <w:position w:val="0"/>
          <w:sz w:val="24"/>
          <w:szCs w:val="24"/>
          <w:rFonts w:ascii="仿宋" w:eastAsia="Times New Roman" w:hAnsi="Times New Roman" w:hint="default"/>
        </w:rPr>
        <w:t>件应实质上响应招标文件中所有条款和条件，无显著的差异或保留。评标委员应</w:t>
      </w:r>
      <w:r>
        <w:rPr>
          <w:color w:val="auto"/>
          <w:position w:val="0"/>
          <w:sz w:val="24"/>
          <w:szCs w:val="24"/>
          <w:rFonts w:ascii="仿宋" w:eastAsia="Times New Roman" w:hAnsi="Times New Roman" w:hint="default"/>
        </w:rPr>
        <w:t>在认真审阅投标文件的基础上，对不具备进入详细评审条件的投标文件应提出</w:t>
      </w:r>
      <w:r>
        <w:rPr>
          <w:color w:val="auto"/>
          <w:position w:val="0"/>
          <w:sz w:val="24"/>
          <w:szCs w:val="24"/>
          <w:rFonts w:ascii="仿宋" w:eastAsia="Times New Roman" w:hAnsi="Times New Roman" w:hint="default"/>
        </w:rPr>
        <w:t>相应的依据。</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(2)投标文件响应性检查</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评标委员会应当审查每一投标文件是否对招标文件提出的所有要求和条件</w:t>
      </w:r>
      <w:r>
        <w:rPr>
          <w:color w:val="auto"/>
          <w:position w:val="0"/>
          <w:sz w:val="24"/>
          <w:szCs w:val="24"/>
          <w:rFonts w:ascii="仿宋" w:eastAsia="仿宋" w:hAnsi="仿宋" w:hint="default"/>
        </w:rPr>
        <w:t>作出实质性响应。投标文件有重大偏差的，视为未能对招标文件作出实质性响应。</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所谓重大偏差是指下列情况之一：</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①对投标的工程范围和工作内容有实质性的偏离；</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②投标文件载明的招标项目完成期限超过招标文件规定的期限；</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③对工程质量或使用性能产生不利影响；</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④对合同中规定的双方的权利和义务作实质性修改；</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⑤投标文件附有招标人不能接受的条件；</w:t>
      </w:r>
    </w:p>
    <w:p>
      <w:pPr>
        <w:numPr>
          <w:ilvl w:val="0"/>
          <w:numId w:val="0"/>
        </w:numPr>
        <w:jc w:val="both"/>
        <w:spacing w:lineRule="auto" w:line="360" w:before="0" w:after="0"/>
        <w:ind w:left="416"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⑥不符合招标文件中规定的其它实质性要求。</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(3)无效投标文件</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发包人对有下列情况之一的投标文件，可以拒绝或按无效投标文件处理：</w:t>
      </w:r>
    </w:p>
    <w:p>
      <w:pPr>
        <w:numPr>
          <w:ilvl w:val="0"/>
          <w:numId w:val="0"/>
        </w:numPr>
        <w:jc w:val="both"/>
        <w:spacing w:lineRule="auto" w:line="360" w:before="0" w:after="0"/>
        <w:ind w:left="218" w:right="0" w:firstLine="482"/>
        <w:tabs>
          <w:tab w:val="left" w:pos="1040"/>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①有本条(2)</w:t>
      </w:r>
      <w:r>
        <w:rPr>
          <w:b w:val="1"/>
          <w:color w:val="auto"/>
          <w:position w:val="0"/>
          <w:sz w:val="24"/>
          <w:szCs w:val="24"/>
          <w:rFonts w:ascii="仿宋" w:eastAsia="Times New Roman" w:hAnsi="Times New Roman" w:hint="default"/>
        </w:rPr>
        <w:t>款所列重大偏差或保留情况之一的；</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②逾期送达的标书；</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③无单位盖章并无法定代表人或法定代表人授权的代理人签字或盖章的；</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④投标人的法定代表人或委托代理人不参加开标会议的；</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⑤在评标过程中，评标委员会发现投标人以他人名义投标、串通投标、以</w:t>
      </w:r>
      <w:r>
        <w:rPr>
          <w:b w:val="1"/>
          <w:color w:val="auto"/>
          <w:position w:val="0"/>
          <w:sz w:val="24"/>
          <w:szCs w:val="24"/>
          <w:rFonts w:ascii="仿宋" w:eastAsia="仿宋" w:hAnsi="仿宋" w:hint="default"/>
        </w:rPr>
        <w:t>行贿手段谋取中标或者以弄虚作假方式投标的；</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⑥投标人递交两份或多份内容不同的投标文件，或在一份投标文件中对</w:t>
      </w:r>
      <w:r>
        <w:rPr>
          <w:b w:val="1"/>
          <w:color w:val="auto"/>
          <w:position w:val="0"/>
          <w:sz w:val="24"/>
          <w:szCs w:val="24"/>
          <w:rFonts w:ascii="仿宋" w:eastAsia="仿宋" w:hAnsi="仿宋" w:hint="default"/>
        </w:rPr>
        <w:t>同一招标项目报有两个或多个报价，且未声明哪一个有效，按招标文件规定</w:t>
      </w:r>
      <w:r>
        <w:rPr>
          <w:b w:val="1"/>
          <w:color w:val="auto"/>
          <w:position w:val="0"/>
          <w:sz w:val="24"/>
          <w:szCs w:val="24"/>
          <w:rFonts w:ascii="仿宋" w:eastAsia="仿宋" w:hAnsi="仿宋" w:hint="default"/>
        </w:rPr>
        <w:t>提交备选投标方案的除外；</w:t>
      </w:r>
    </w:p>
    <w:p>
      <w:pPr>
        <w:numPr>
          <w:ilvl w:val="0"/>
          <w:numId w:val="0"/>
        </w:numPr>
        <w:jc w:val="both"/>
        <w:spacing w:lineRule="auto" w:line="360" w:before="0" w:after="0"/>
        <w:ind w:left="218" w:right="0" w:firstLine="482"/>
        <w:tabs>
          <w:tab w:val="left" w:pos="1440"/>
        </w:tabs>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⑦投标人资格条件不符合国家有关规定和招标文件的要求，或拒不按要</w:t>
      </w:r>
      <w:r>
        <w:rPr>
          <w:b w:val="1"/>
          <w:color w:val="auto"/>
          <w:position w:val="0"/>
          <w:sz w:val="24"/>
          <w:szCs w:val="24"/>
          <w:rFonts w:ascii="仿宋" w:eastAsia="仿宋" w:hAnsi="仿宋" w:hint="default"/>
        </w:rPr>
        <w:t>求对投标文件进行澄清、说明或者补正的。</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(4)</w:t>
      </w:r>
      <w:r>
        <w:rPr>
          <w:b w:val="1"/>
          <w:color w:val="auto"/>
          <w:position w:val="0"/>
          <w:sz w:val="24"/>
          <w:szCs w:val="24"/>
          <w:rFonts w:ascii="仿宋" w:eastAsia="Times New Roman" w:hAnsi="Times New Roman" w:hint="default"/>
        </w:rPr>
        <w:t>投标文件的澄清</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为了有助于对投标文件的检查和评审，发包人可以单独要求投标人澄清其</w:t>
      </w:r>
      <w:r>
        <w:rPr>
          <w:color w:val="auto"/>
          <w:position w:val="0"/>
          <w:sz w:val="24"/>
          <w:szCs w:val="24"/>
          <w:rFonts w:ascii="仿宋" w:eastAsia="仿宋" w:hAnsi="仿宋" w:hint="default"/>
        </w:rPr>
        <w:t>投标文件。发包人的澄清要求和投标人的答复均应采用书面形式。投标人不得修</w:t>
      </w:r>
      <w:r>
        <w:rPr>
          <w:color w:val="auto"/>
          <w:position w:val="0"/>
          <w:sz w:val="24"/>
          <w:szCs w:val="24"/>
          <w:rFonts w:ascii="仿宋" w:eastAsia="仿宋" w:hAnsi="仿宋" w:hint="default"/>
        </w:rPr>
        <w:t>改投标报价或投标文件中的其它实质性内容。经澄清的问题需由投标人签字确认</w:t>
      </w:r>
      <w:r>
        <w:rPr>
          <w:color w:val="auto"/>
          <w:position w:val="0"/>
          <w:sz w:val="24"/>
          <w:szCs w:val="24"/>
          <w:rFonts w:ascii="仿宋" w:eastAsia="仿宋" w:hAnsi="仿宋" w:hint="default"/>
        </w:rPr>
        <w:t>后作为投标文件的组成部分。</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(5)</w:t>
      </w:r>
      <w:r>
        <w:rPr>
          <w:b w:val="1"/>
          <w:color w:val="auto"/>
          <w:position w:val="0"/>
          <w:sz w:val="24"/>
          <w:szCs w:val="24"/>
          <w:rFonts w:ascii="仿宋" w:eastAsia="Times New Roman" w:hAnsi="Times New Roman" w:hint="default"/>
        </w:rPr>
        <w:t>算术错误的改正</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对实质上响应招标文件要求的投标文件，发包人将检查其报价是否有算术</w:t>
      </w:r>
      <w:r>
        <w:rPr>
          <w:color w:val="auto"/>
          <w:position w:val="0"/>
          <w:sz w:val="24"/>
          <w:szCs w:val="24"/>
          <w:rFonts w:ascii="仿宋" w:eastAsia="仿宋" w:hAnsi="仿宋" w:hint="default"/>
        </w:rPr>
        <w:t>错误。对于算术错误，发包人有权要求投标人进行改正，改正错误的原则为：</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①《报价表》中任一项目的单价乘其工程量的乘积与该项目的合价不吻合</w:t>
      </w:r>
      <w:r>
        <w:rPr>
          <w:color w:val="auto"/>
          <w:position w:val="0"/>
          <w:sz w:val="24"/>
          <w:szCs w:val="24"/>
          <w:rFonts w:ascii="仿宋" w:eastAsia="仿宋" w:hAnsi="仿宋" w:hint="default"/>
        </w:rPr>
        <w:t>时，应以单价为准，改正合价。但经发包人与投标人共同核对后认为单价有明显</w:t>
      </w:r>
      <w:r>
        <w:rPr>
          <w:color w:val="auto"/>
          <w:position w:val="0"/>
          <w:sz w:val="24"/>
          <w:szCs w:val="24"/>
          <w:rFonts w:ascii="仿宋" w:eastAsia="仿宋" w:hAnsi="仿宋" w:hint="default"/>
        </w:rPr>
        <w:t>的小数点错位时，则应以合价为准，改正单价。</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②若投标报价总表中的金额与相应的各分项报价表中的合计金额不吻合时，</w:t>
      </w:r>
      <w:r>
        <w:rPr>
          <w:color w:val="auto"/>
          <w:position w:val="0"/>
          <w:sz w:val="24"/>
          <w:szCs w:val="24"/>
          <w:rFonts w:ascii="仿宋" w:eastAsia="仿宋" w:hAnsi="仿宋" w:hint="default"/>
        </w:rPr>
        <w:t>应以修正算术错误后的各分项报价表中的合计金额为准，改正投标报价汇总表</w:t>
      </w:r>
      <w:r>
        <w:rPr>
          <w:color w:val="auto"/>
          <w:position w:val="0"/>
          <w:sz w:val="24"/>
          <w:szCs w:val="24"/>
          <w:rFonts w:ascii="仿宋" w:eastAsia="仿宋" w:hAnsi="仿宋" w:hint="default"/>
        </w:rPr>
        <w:t>中相应部分的金额和投标总报价。</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③用数字表示的数额与用文字表示的数额不一致时，以文字数额为准。</w:t>
      </w:r>
    </w:p>
    <w:p>
      <w:pPr>
        <w:numPr>
          <w:ilvl w:val="0"/>
          <w:numId w:val="0"/>
        </w:numPr>
        <w:jc w:val="both"/>
        <w:spacing w:lineRule="auto" w:line="360" w:before="0" w:after="0"/>
        <w:ind w:right="0" w:firstLine="48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发包人将按上述规定的原则，要求投标人改正报价中的算术错误，改正后</w:t>
      </w:r>
      <w:r>
        <w:rPr>
          <w:color w:val="auto"/>
          <w:position w:val="0"/>
          <w:sz w:val="24"/>
          <w:szCs w:val="24"/>
          <w:rFonts w:ascii="仿宋" w:eastAsia="仿宋" w:hAnsi="仿宋" w:hint="default"/>
        </w:rPr>
        <w:t>的投标报价汇总表须经发包人和投标人共同确认。</w:t>
      </w: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Times New Roman" w:hAnsi="Times New Roman" w:hint="default"/>
        </w:rPr>
        <w:snapToGrid w:val="off"/>
        <w:autoSpaceDE w:val="1"/>
        <w:autoSpaceDN w:val="1"/>
      </w:pPr>
    </w:p>
    <w:p>
      <w:pPr>
        <w:numPr>
          <w:ilvl w:val="0"/>
          <w:numId w:val="0"/>
        </w:numPr>
        <w:jc w:val="left"/>
        <w:spacing w:lineRule="auto" w:line="240" w:before="0" w:after="200"/>
        <w:ind w:right="0" w:firstLine="0"/>
        <w:rPr>
          <w:color w:val="auto"/>
          <w:position w:val="0"/>
          <w:sz w:val="24"/>
          <w:szCs w:val="24"/>
          <w:rFonts w:ascii="仿宋" w:eastAsia="仿宋" w:hAnsi="仿宋"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pStyle w:val="PO7"/>
        <w:numPr>
          <w:ilvl w:val="0"/>
          <w:numId w:val="0"/>
        </w:numPr>
        <w:jc w:val="center"/>
        <w:spacing w:lineRule="auto" w:line="576" w:before="340" w:after="330"/>
        <w:ind w:right="0" w:firstLine="0"/>
        <w:rPr>
          <w:b w:val="1"/>
          <w:color w:val="auto"/>
          <w:position w:val="0"/>
          <w:sz w:val="28"/>
          <w:szCs w:val="28"/>
          <w:rFonts w:ascii="宋体" w:eastAsia="宋体" w:hAnsi="宋体" w:hint="default"/>
        </w:rPr>
        <w:outlineLvl w:val="0"/>
        <w:snapToGrid w:val="on"/>
        <w:autoSpaceDE w:val="1"/>
        <w:autoSpaceDN w:val="1"/>
      </w:pPr>
      <w:bookmarkStart w:id="21" w:name="_Toc485198638"/>
      <w:bookmarkStart w:id="22" w:name="_Toc504125542"/>
      <w:r>
        <w:rPr>
          <w:b w:val="1"/>
          <w:color w:val="auto"/>
          <w:position w:val="0"/>
          <w:sz w:val="28"/>
          <w:szCs w:val="28"/>
          <w:rFonts w:ascii="宋体" w:eastAsia="Times New Roman" w:hAnsi="Times New Roman" w:hint="default"/>
        </w:rPr>
        <w:t xml:space="preserve">第四章 合同条款及格式</w:t>
      </w:r>
      <w:bookmarkEnd w:id="21"/>
      <w:bookmarkEnd w:id="22"/>
    </w:p>
    <w:p>
      <w:pPr>
        <w:numPr>
          <w:ilvl w:val="0"/>
          <w:numId w:val="0"/>
        </w:numPr>
        <w:jc w:val="center"/>
        <w:spacing w:lineRule="auto" w:line="240" w:before="0" w:after="200"/>
        <w:ind w:right="0" w:firstLine="0"/>
        <w:rPr>
          <w:color w:val="auto"/>
          <w:position w:val="0"/>
          <w:sz w:val="28"/>
          <w:szCs w:val="28"/>
          <w:rFonts w:ascii="宋体" w:eastAsia="宋体" w:hAnsi="宋体" w:hint="default"/>
        </w:rPr>
        <w:snapToGrid w:val="off"/>
        <w:autoSpaceDE w:val="1"/>
        <w:autoSpaceDN w:val="1"/>
      </w:pPr>
      <w:bookmarkStart w:id="23" w:name="_Toc467049282"/>
      <w:bookmarkStart w:id="24" w:name="_Toc30700"/>
      <w:r>
        <w:rPr>
          <w:color w:val="auto"/>
          <w:position w:val="0"/>
          <w:sz w:val="28"/>
          <w:szCs w:val="28"/>
          <w:rFonts w:ascii="宋体" w:eastAsia="Tahoma" w:hAnsi="Tahoma" w:hint="default"/>
        </w:rPr>
        <w:t xml:space="preserve">第一节  合同条款</w:t>
      </w:r>
      <w:bookmarkEnd w:id="23"/>
      <w:bookmarkEnd w:id="24"/>
    </w:p>
    <w:p>
      <w:pPr>
        <w:numPr>
          <w:ilvl w:val="0"/>
          <w:numId w:val="0"/>
        </w:numPr>
        <w:jc w:val="left"/>
        <w:spacing w:lineRule="auto" w:line="240" w:before="0" w:after="200"/>
        <w:ind w:right="0" w:firstLine="0"/>
        <w:rPr>
          <w:color w:val="auto"/>
          <w:position w:val="0"/>
          <w:sz w:val="28"/>
          <w:szCs w:val="28"/>
          <w:rFonts w:ascii="Tahoma" w:eastAsia="Tahoma" w:hAnsi="Tahoma" w:hint="default"/>
        </w:rPr>
        <w:snapToGrid w:val="off"/>
        <w:autoSpaceDE w:val="1"/>
        <w:autoSpaceDN w:val="1"/>
      </w:pPr>
    </w:p>
    <w:p>
      <w:pPr>
        <w:numPr>
          <w:ilvl w:val="0"/>
          <w:numId w:val="0"/>
        </w:numPr>
        <w:jc w:val="both"/>
        <w:spacing w:lineRule="auto" w:line="360" w:before="0" w:after="200"/>
        <w:ind w:right="0" w:firstLine="0"/>
        <w:rPr>
          <w:b w:val="1"/>
          <w:color w:val="000000"/>
          <w:position w:val="0"/>
          <w:sz w:val="24"/>
          <w:szCs w:val="24"/>
          <w:rFonts w:ascii="仿宋" w:eastAsia="宋体" w:hAnsi="宋体" w:hint="default"/>
        </w:rPr>
        <w:snapToGrid w:val="off"/>
        <w:autoSpaceDE w:val="1"/>
        <w:autoSpaceDN w:val="1"/>
      </w:pPr>
      <w:r>
        <w:rPr>
          <w:color w:val="auto"/>
          <w:position w:val="0"/>
          <w:sz w:val="28"/>
          <w:szCs w:val="28"/>
          <w:rFonts w:ascii="宋体" w:eastAsia="Tahoma" w:hAnsi="Tahoma" w:hint="default"/>
        </w:rPr>
        <w:t xml:space="preserve">   </w:t>
      </w:r>
      <w:r>
        <w:rPr>
          <w:color w:val="auto"/>
          <w:position w:val="0"/>
          <w:sz w:val="24"/>
          <w:szCs w:val="24"/>
          <w:rFonts w:ascii="宋体" w:eastAsia="Tahoma" w:hAnsi="Tahoma" w:hint="default"/>
        </w:rPr>
        <w:t xml:space="preserve"> </w:t>
      </w:r>
      <w:r>
        <w:rPr>
          <w:color w:val="auto"/>
          <w:position w:val="0"/>
          <w:sz w:val="24"/>
          <w:szCs w:val="24"/>
          <w:rFonts w:ascii="仿宋" w:eastAsia="仿宋" w:hAnsi="仿宋" w:hint="default"/>
        </w:rPr>
        <w:t xml:space="preserve">本《谈判文件》的“合同条款”， 采用住房和城乡建设部、国家工商行政</w:t>
      </w:r>
      <w:r>
        <w:rPr>
          <w:color w:val="auto"/>
          <w:position w:val="0"/>
          <w:sz w:val="24"/>
          <w:szCs w:val="24"/>
          <w:rFonts w:ascii="仿宋" w:eastAsia="仿宋" w:hAnsi="仿宋" w:hint="default"/>
        </w:rPr>
        <w:t>管理总局制定的《建设项目工程总承包合同示范文本》（GF-2017-0201)。合同</w:t>
      </w:r>
      <w:r>
        <w:rPr>
          <w:color w:val="auto"/>
          <w:position w:val="0"/>
          <w:sz w:val="24"/>
          <w:szCs w:val="24"/>
          <w:rFonts w:ascii="仿宋" w:eastAsia="仿宋" w:hAnsi="仿宋" w:hint="default"/>
        </w:rPr>
        <w:t>中涉及的具体要求以及其他规定，在不违背法律法规的前提下由中标人与招标</w:t>
      </w:r>
      <w:r>
        <w:rPr>
          <w:color w:val="auto"/>
          <w:position w:val="0"/>
          <w:sz w:val="24"/>
          <w:szCs w:val="24"/>
          <w:rFonts w:ascii="仿宋" w:eastAsia="仿宋" w:hAnsi="仿宋" w:hint="default"/>
        </w:rPr>
        <w:t>人在签订合同时具体协商。</w:t>
      </w:r>
    </w:p>
    <w:p>
      <w:pPr>
        <w:numPr>
          <w:ilvl w:val="0"/>
          <w:numId w:val="0"/>
        </w:numPr>
        <w:jc w:val="center"/>
        <w:spacing w:lineRule="auto" w:line="240" w:before="0" w:after="200"/>
        <w:ind w:right="0" w:firstLine="0"/>
        <w:rPr>
          <w:b w:val="1"/>
          <w:color w:val="000000"/>
          <w:position w:val="0"/>
          <w:sz w:val="28"/>
          <w:szCs w:val="28"/>
          <w:rFonts w:ascii="Tahoma" w:eastAsia="华文中宋" w:hAnsi="华文中宋" w:hint="default"/>
        </w:rPr>
        <w:snapToGrid w:val="off"/>
        <w:autoSpaceDE w:val="1"/>
        <w:autoSpaceDN w:val="1"/>
      </w:pPr>
    </w:p>
    <w:p>
      <w:pPr>
        <w:numPr>
          <w:ilvl w:val="0"/>
          <w:numId w:val="0"/>
        </w:numPr>
        <w:jc w:val="center"/>
        <w:spacing w:lineRule="auto" w:line="240" w:before="0" w:after="200"/>
        <w:ind w:right="0" w:firstLine="0"/>
        <w:rPr>
          <w:b w:val="1"/>
          <w:color w:val="000000"/>
          <w:position w:val="0"/>
          <w:sz w:val="28"/>
          <w:szCs w:val="28"/>
          <w:rFonts w:ascii="楷体" w:eastAsia="楷体" w:hAnsi="楷体" w:hint="default"/>
        </w:rPr>
        <w:snapToGrid w:val="off"/>
        <w:autoSpaceDE w:val="1"/>
        <w:autoSpaceDN w:val="1"/>
      </w:pPr>
      <w:r>
        <w:rPr>
          <w:b w:val="1"/>
          <w:color w:val="000000"/>
          <w:position w:val="0"/>
          <w:sz w:val="28"/>
          <w:szCs w:val="28"/>
          <w:rFonts w:ascii="楷体" w:eastAsia="楷体" w:hAnsi="楷体" w:hint="default"/>
        </w:rPr>
        <w:t>建设工程施工合同</w:t>
      </w:r>
      <w:r>
        <w:rPr>
          <w:b w:val="1"/>
          <w:color w:val="000000"/>
          <w:position w:val="0"/>
          <w:sz w:val="28"/>
          <w:szCs w:val="28"/>
          <w:rFonts w:ascii="楷体" w:eastAsia="楷体" w:hAnsi="楷体" w:hint="default"/>
        </w:rPr>
        <w:br/>
      </w: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0" w:firstLine="0"/>
        <w:rPr>
          <w:b w:val="1"/>
          <w:color w:val="000000"/>
          <w:position w:val="0"/>
          <w:sz w:val="28"/>
          <w:szCs w:val="28"/>
          <w:rFonts w:ascii="Tahoma" w:eastAsia="Tahoma" w:hAnsi="Tahoma" w:hint="default"/>
        </w:rPr>
        <w:snapToGrid w:val="off"/>
        <w:autoSpaceDE w:val="1"/>
        <w:autoSpaceDN w:val="1"/>
      </w:pPr>
    </w:p>
    <w:p>
      <w:pPr>
        <w:numPr>
          <w:ilvl w:val="0"/>
          <w:numId w:val="0"/>
        </w:numPr>
        <w:jc w:val="left"/>
        <w:spacing w:lineRule="auto" w:line="240" w:before="0" w:after="200"/>
        <w:ind w:right="2849" w:firstLine="0"/>
        <w:rPr>
          <w:b w:val="1"/>
          <w:color w:val="000000"/>
          <w:position w:val="0"/>
          <w:sz w:val="28"/>
          <w:szCs w:val="28"/>
          <w:rFonts w:ascii="Tahoma" w:eastAsia="Tahoma" w:hAnsi="Tahoma" w:hint="default"/>
        </w:rPr>
        <w:snapToGrid w:val="off"/>
        <w:autoSpaceDE w:val="1"/>
        <w:autoSpaceDN w:val="1"/>
      </w:pPr>
      <w:r>
        <w:rPr>
          <w:sz w:val="20"/>
        </w:rPr>
        <w:pict>
          <v:shapetype id="_x0000_t202" coordsize="21600,21600" o:spt="202" o:preferrelative="t" path="m,l,21600r21600,l21600,xe">
            <v:stroke joinstyle="miter"/>
          </v:shapetype>
          <v:shape id="_x0000_s41" type="#_x0000_t202" style="position:absolute;left:0;margin-left:313pt;mso-position-horizontal:absolute;mso-position-horizontal-relative:text;margin-top:9pt;mso-position-vertical:absolute;mso-position-vertical-relative:text;width:57.0pt;height:36.0pt;z-index:251624973" stroked="f" filled="f">
            <v:textbox style="" inset="7pt,4pt,7pt,4pt">
              <w:txbxContent>
                <w:p>
                  <w:pPr>
                    <w:numPr>
                      <w:ilvl w:val="0"/>
                      <w:numId w:val="0"/>
                    </w:numPr>
                    <w:jc w:val="left"/>
                    <w:spacing w:lineRule="auto" w:line="240" w:before="0" w:after="200"/>
                    <w:ind w:right="0" w:firstLine="0"/>
                    <w:rPr>
                      <w:b w:val="1"/>
                      <w:color w:val="auto"/>
                      <w:position w:val="0"/>
                      <w:sz w:val="32"/>
                      <w:szCs w:val="32"/>
                      <w:rFonts w:ascii="Tahoma" w:eastAsia="Tahoma" w:hAnsi="Tahoma" w:hint="default"/>
                    </w:rPr>
                    <w:snapToGrid w:val="off"/>
                    <w:autoSpaceDE w:val="1"/>
                    <w:autoSpaceDN w:val="1"/>
                  </w:pPr>
                  <w:r>
                    <w:rPr>
                      <w:b w:val="1"/>
                      <w:color w:val="auto"/>
                      <w:position w:val="0"/>
                      <w:sz w:val="32"/>
                      <w:szCs w:val="32"/>
                      <w:rFonts w:ascii="Tahoma" w:eastAsia="Tahoma" w:hAnsi="Tahoma" w:hint="default"/>
                    </w:rPr>
                    <w:t>制定</w:t>
                  </w:r>
                </w:p>
              </w:txbxContent>
            </v:textbox>
          </v:shape>
        </w:pict>
      </w:r>
      <w:r>
        <w:rPr>
          <w:b w:val="1"/>
          <w:color w:val="000000"/>
          <w:position w:val="0"/>
          <w:sz w:val="28"/>
          <w:szCs w:val="28"/>
          <w:rFonts w:ascii="Tahoma" w:eastAsia="Tahoma" w:hAnsi="Tahoma" w:hint="default"/>
        </w:rPr>
        <w:t xml:space="preserve">                             住  房  和  城  乡  建 设  </w:t>
      </w:r>
      <w:r>
        <w:rPr>
          <w:b w:val="1"/>
          <w:color w:val="000000"/>
          <w:position w:val="0"/>
          <w:sz w:val="28"/>
          <w:szCs w:val="28"/>
          <w:rFonts w:ascii="Tahoma" w:eastAsia="Tahoma" w:hAnsi="Tahoma" w:hint="default"/>
        </w:rPr>
        <w:t>部</w:t>
      </w:r>
    </w:p>
    <w:p>
      <w:pPr>
        <w:numPr>
          <w:ilvl w:val="0"/>
          <w:numId w:val="0"/>
        </w:numPr>
        <w:jc w:val="distribute"/>
        <w:spacing w:lineRule="auto" w:line="240" w:before="0" w:after="200"/>
        <w:ind w:right="2849" w:firstLine="2397"/>
        <w:rPr>
          <w:b w:val="1"/>
          <w:color w:val="000000"/>
          <w:position w:val="0"/>
          <w:sz w:val="28"/>
          <w:szCs w:val="28"/>
          <w:rFonts w:ascii="Tahoma" w:eastAsia="Tahoma" w:hAnsi="Tahoma" w:hint="default"/>
        </w:rPr>
        <w:snapToGrid w:val="off"/>
        <w:autoSpaceDE w:val="1"/>
        <w:autoSpaceDN w:val="1"/>
      </w:pPr>
      <w:r>
        <w:rPr>
          <w:b w:val="1"/>
          <w:color w:val="000000"/>
          <w:position w:val="0"/>
          <w:sz w:val="28"/>
          <w:szCs w:val="28"/>
          <w:rFonts w:ascii="Tahoma" w:eastAsia="Tahoma" w:hAnsi="Tahoma" w:hint="default"/>
        </w:rPr>
        <w:t>国家工商行政管理总局</w:t>
      </w:r>
    </w:p>
    <w:p>
      <w:pPr>
        <w:sectPr>
          <w:footerReference w:type="default" r:id="rId5"/>
          <w:footerReference w:type="first" r:id="rId6"/>
          <w:pgSz w:w="11906" w:h="16838"/>
          <w:pgMar w:top="1418" w:left="1531" w:bottom="1418" w:right="1555" w:header="851" w:footer="992" w:gutter="0"/>
          <w:pgNumType w:fmt="decimal" w:start="1"/>
          <w:docGrid w:type="lines" w:linePitch="312" w:charSpace="0"/>
        </w:sectPr>
        <w:numPr>
          <w:ilvl w:val="0"/>
          <w:numId w:val="0"/>
        </w:numPr>
        <w:jc w:val="left"/>
        <w:spacing w:lineRule="auto" w:line="240" w:before="0" w:after="200"/>
        <w:ind w:right="0" w:firstLine="0"/>
        <w:rPr>
          <w:color w:val="auto"/>
          <w:position w:val="0"/>
          <w:sz w:val="28"/>
          <w:szCs w:val="28"/>
          <w:rFonts w:ascii="Tahoma" w:eastAsia="仿宋_GB2312" w:hAnsi="仿宋_GB2312" w:hint="default"/>
        </w:rPr>
        <w:snapToGrid w:val="off"/>
        <w:autoSpaceDE w:val="1"/>
        <w:autoSpaceDN w:val="1"/>
      </w:pPr>
      <w:bookmarkStart w:id="25" w:name="_Toc351203480"/>
      <w:bookmarkStart w:id="26" w:name="_Toc296890982"/>
      <w:bookmarkStart w:id="27" w:name="_Toc296503025"/>
    </w:p>
    <w:p>
      <w:pPr>
        <w:numPr>
          <w:ilvl w:val="0"/>
          <w:numId w:val="0"/>
        </w:numPr>
        <w:jc w:val="center"/>
        <w:spacing w:lineRule="auto" w:line="240" w:before="0" w:after="200"/>
        <w:ind w:right="0" w:firstLine="0"/>
        <w:rPr>
          <w:b w:val="1"/>
          <w:color w:val="000000"/>
          <w:position w:val="0"/>
          <w:sz w:val="28"/>
          <w:szCs w:val="28"/>
          <w:rFonts w:ascii="宋体" w:eastAsia="宋体" w:hAnsi="宋体" w:hint="default"/>
        </w:rPr>
        <w:snapToGrid w:val="off"/>
        <w:autoSpaceDE w:val="1"/>
        <w:autoSpaceDN w:val="1"/>
      </w:pPr>
      <w:bookmarkStart w:id="28" w:name="_Toc467049283"/>
      <w:bookmarkStart w:id="29" w:name="_Toc29956"/>
      <w:r>
        <w:rPr>
          <w:color w:val="auto"/>
          <w:position w:val="0"/>
          <w:sz w:val="28"/>
          <w:szCs w:val="28"/>
          <w:rFonts w:ascii="宋体" w:eastAsia="宋体" w:hAnsi="宋体" w:hint="default"/>
        </w:rPr>
        <w:t xml:space="preserve">第一部分 合同协议书</w:t>
      </w:r>
      <w:bookmarkEnd w:id="25"/>
      <w:bookmarkEnd w:id="26"/>
      <w:bookmarkEnd w:id="27"/>
      <w:bookmarkEnd w:id="28"/>
      <w:bookmarkEnd w:id="29"/>
    </w:p>
    <w:p>
      <w:pPr>
        <w:numPr>
          <w:ilvl w:val="0"/>
          <w:numId w:val="0"/>
        </w:numPr>
        <w:jc w:val="both"/>
        <w:spacing w:lineRule="auto" w:line="360" w:before="0" w:after="0"/>
        <w:ind w:right="0" w:firstLine="0"/>
        <w:rPr>
          <w:b w:val="1"/>
          <w:color w:val="000000"/>
          <w:position w:val="0"/>
          <w:sz w:val="24"/>
          <w:szCs w:val="24"/>
          <w:u w:val="single"/>
          <w:rFonts w:ascii="仿宋" w:eastAsia="宋体" w:hAnsi="宋体" w:hint="default"/>
        </w:rPr>
        <w:snapToGrid w:val="off"/>
        <w:autoSpaceDE w:val="1"/>
        <w:autoSpaceDN w:val="1"/>
      </w:pPr>
      <w:r>
        <w:rPr>
          <w:b w:val="1"/>
          <w:color w:val="000000"/>
          <w:position w:val="0"/>
          <w:sz w:val="24"/>
          <w:szCs w:val="24"/>
          <w:rFonts w:ascii="仿宋" w:eastAsia="仿宋" w:hAnsi="仿宋" w:hint="default"/>
        </w:rPr>
        <w:t>发包人（全称）：</w:t>
      </w:r>
      <w:r>
        <w:rPr>
          <w:b w:val="1"/>
          <w:color w:val="000000"/>
          <w:position w:val="0"/>
          <w:sz w:val="24"/>
          <w:szCs w:val="24"/>
          <w:u w:val="single"/>
          <w:rFonts w:ascii="仿宋" w:eastAsia="仿宋" w:hAnsi="仿宋" w:hint="default"/>
        </w:rPr>
        <w:t xml:space="preserve">                             </w:t>
      </w:r>
    </w:p>
    <w:p>
      <w:pPr>
        <w:numPr>
          <w:ilvl w:val="0"/>
          <w:numId w:val="0"/>
        </w:numPr>
        <w:jc w:val="both"/>
        <w:spacing w:lineRule="auto" w:line="360" w:before="0" w:after="0"/>
        <w:ind w:right="0" w:firstLine="0"/>
        <w:rPr>
          <w:b w:val="1"/>
          <w:color w:val="000000"/>
          <w:position w:val="0"/>
          <w:sz w:val="24"/>
          <w:szCs w:val="24"/>
          <w:u w:val="single"/>
          <w:rFonts w:ascii="仿宋" w:eastAsia="宋体" w:hAnsi="宋体" w:hint="default"/>
        </w:rPr>
        <w:snapToGrid w:val="off"/>
        <w:autoSpaceDE w:val="1"/>
        <w:autoSpaceDN w:val="1"/>
      </w:pPr>
      <w:r>
        <w:rPr>
          <w:b w:val="1"/>
          <w:color w:val="000000"/>
          <w:position w:val="0"/>
          <w:sz w:val="24"/>
          <w:szCs w:val="24"/>
          <w:rFonts w:ascii="仿宋" w:eastAsia="仿宋" w:hAnsi="仿宋" w:hint="default"/>
        </w:rPr>
        <w:t>承包人（全称）：</w:t>
      </w:r>
      <w:r>
        <w:rPr>
          <w:b w:val="1"/>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根据《中华人民共和国合同法》、《中华人民共和国建筑法》及有关法律规</w:t>
      </w:r>
      <w:r>
        <w:rPr>
          <w:color w:val="000000"/>
          <w:position w:val="0"/>
          <w:sz w:val="24"/>
          <w:szCs w:val="24"/>
          <w:rFonts w:ascii="仿宋" w:eastAsia="仿宋" w:hAnsi="仿宋" w:hint="default"/>
        </w:rPr>
        <w:t>定，遵循平等、自愿、公平和诚实信用的原则，双方就</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工程施工及有关事项协商一致，共同达成如下协议：</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0" w:name="_Toc351203481"/>
      <w:r>
        <w:rPr>
          <w:color w:val="000000"/>
          <w:position w:val="0"/>
          <w:sz w:val="24"/>
          <w:szCs w:val="24"/>
          <w:rFonts w:ascii="仿宋" w:eastAsia="仿宋" w:hAnsi="仿宋" w:hint="default"/>
        </w:rPr>
        <w:t>一、工程概况</w:t>
      </w:r>
      <w:bookmarkEnd w:id="30"/>
    </w:p>
    <w:p>
      <w:pPr>
        <w:numPr>
          <w:ilvl w:val="0"/>
          <w:numId w:val="0"/>
        </w:numPr>
        <w:jc w:val="both"/>
        <w:spacing w:lineRule="auto" w:line="360" w:before="0" w:after="0"/>
        <w:ind w:right="0" w:firstLine="47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1.工程名称：</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2.工程地点：</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3.工程立项批准文号：</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4.资金来源：</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5.工程内容：</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群体工程应附《承包人承揽工程项目一览表》（附件1）。</w:t>
      </w:r>
    </w:p>
    <w:p>
      <w:pPr>
        <w:numPr>
          <w:ilvl w:val="0"/>
          <w:numId w:val="0"/>
        </w:numPr>
        <w:jc w:val="both"/>
        <w:spacing w:lineRule="auto" w:line="360" w:before="0" w:after="0"/>
        <w:ind w:right="0" w:firstLine="47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6.工程承包范围：</w:t>
      </w:r>
    </w:p>
    <w:p>
      <w:pPr>
        <w:numPr>
          <w:ilvl w:val="0"/>
          <w:numId w:val="0"/>
        </w:numPr>
        <w:jc w:val="both"/>
        <w:spacing w:lineRule="auto" w:line="360" w:before="0" w:after="0"/>
        <w:ind w:right="0" w:firstLine="463"/>
        <w:rPr>
          <w:color w:val="000000"/>
          <w:position w:val="0"/>
          <w:sz w:val="24"/>
          <w:szCs w:val="24"/>
          <w:rFonts w:ascii="仿宋" w:eastAsia="宋体" w:hAnsi="宋体" w:hint="default"/>
        </w:rPr>
        <w:snapToGrid w:val="off"/>
        <w:autoSpaceDE w:val="1"/>
        <w:autoSpaceDN w:val="1"/>
      </w:pP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1" w:name="_Toc351203482"/>
      <w:r>
        <w:rPr>
          <w:color w:val="000000"/>
          <w:position w:val="0"/>
          <w:sz w:val="24"/>
          <w:szCs w:val="24"/>
          <w:rFonts w:ascii="仿宋" w:eastAsia="仿宋" w:hAnsi="仿宋" w:hint="default"/>
        </w:rPr>
        <w:t>二、合同工期</w:t>
      </w:r>
      <w:bookmarkEnd w:id="31"/>
    </w:p>
    <w:p>
      <w:pPr>
        <w:numPr>
          <w:ilvl w:val="0"/>
          <w:numId w:val="0"/>
        </w:numPr>
        <w:jc w:val="both"/>
        <w:spacing w:lineRule="auto" w:line="360" w:before="0" w:after="0"/>
        <w:ind w:right="0" w:firstLine="459"/>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计划开工日期：</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年</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月</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日。</w:t>
      </w:r>
    </w:p>
    <w:p>
      <w:pPr>
        <w:numPr>
          <w:ilvl w:val="0"/>
          <w:numId w:val="0"/>
        </w:numPr>
        <w:jc w:val="both"/>
        <w:spacing w:lineRule="auto" w:line="360" w:before="0" w:after="0"/>
        <w:ind w:right="0" w:firstLine="459"/>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计划竣工日期：</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年</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月</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日。</w:t>
      </w:r>
    </w:p>
    <w:p>
      <w:pPr>
        <w:numPr>
          <w:ilvl w:val="0"/>
          <w:numId w:val="0"/>
        </w:numPr>
        <w:jc w:val="both"/>
        <w:spacing w:lineRule="auto" w:line="360" w:before="0" w:after="0"/>
        <w:ind w:right="0" w:firstLine="459"/>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工期总日历天数：</w:t>
      </w:r>
      <w:r>
        <w:rPr>
          <w:color w:val="000000"/>
          <w:position w:val="0"/>
          <w:sz w:val="24"/>
          <w:szCs w:val="24"/>
          <w:u w:val="single"/>
          <w:rFonts w:ascii="仿宋" w:eastAsia="仿宋" w:hAnsi="仿宋" w:hint="default"/>
        </w:rPr>
        <w:t>30</w:t>
      </w:r>
      <w:r>
        <w:rPr>
          <w:color w:val="000000"/>
          <w:position w:val="0"/>
          <w:sz w:val="24"/>
          <w:szCs w:val="24"/>
          <w:rFonts w:ascii="仿宋" w:eastAsia="仿宋" w:hAnsi="仿宋" w:hint="default"/>
        </w:rPr>
        <w:t>天。工期总日历天数与根据前述计划开竣工日期计</w:t>
      </w:r>
      <w:r>
        <w:rPr>
          <w:color w:val="000000"/>
          <w:position w:val="0"/>
          <w:sz w:val="24"/>
          <w:szCs w:val="24"/>
          <w:rFonts w:ascii="仿宋" w:eastAsia="仿宋" w:hAnsi="仿宋" w:hint="default"/>
        </w:rPr>
        <w:t>算的工期天数不一致的，以工期总日历天数为准。</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2" w:name="_Toc351203483"/>
      <w:r>
        <w:rPr>
          <w:color w:val="000000"/>
          <w:position w:val="0"/>
          <w:sz w:val="24"/>
          <w:szCs w:val="24"/>
          <w:rFonts w:ascii="仿宋" w:eastAsia="仿宋" w:hAnsi="仿宋" w:hint="default"/>
        </w:rPr>
        <w:t>三、质量标准</w:t>
      </w:r>
      <w:bookmarkEnd w:id="32"/>
    </w:p>
    <w:p>
      <w:pPr>
        <w:numPr>
          <w:ilvl w:val="0"/>
          <w:numId w:val="0"/>
        </w:numPr>
        <w:jc w:val="both"/>
        <w:spacing w:lineRule="auto" w:line="360" w:before="0" w:after="0"/>
        <w:ind w:right="0" w:firstLine="459"/>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工程质量符合</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标准。</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3" w:name="_Toc351203484"/>
      <w:r>
        <w:rPr>
          <w:color w:val="000000"/>
          <w:position w:val="0"/>
          <w:sz w:val="24"/>
          <w:szCs w:val="24"/>
          <w:rFonts w:ascii="仿宋" w:eastAsia="仿宋" w:hAnsi="仿宋" w:hint="default"/>
        </w:rPr>
        <w:t>四、签约合同价与合同价格形式</w:t>
      </w:r>
      <w:bookmarkEnd w:id="33"/>
      <w:r>
        <w:rPr>
          <w:color w:val="000000"/>
          <w:position w:val="0"/>
          <w:sz w:val="24"/>
          <w:szCs w:val="24"/>
          <w:rFonts w:ascii="仿宋" w:eastAsia="仿宋" w:hAnsi="仿宋" w:hint="default"/>
        </w:rPr>
        <w:tab/>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1.签约合同价为：</w:t>
      </w:r>
    </w:p>
    <w:p>
      <w:pPr>
        <w:numPr>
          <w:ilvl w:val="0"/>
          <w:numId w:val="0"/>
        </w:numPr>
        <w:jc w:val="both"/>
        <w:spacing w:lineRule="auto" w:line="360" w:before="0" w:after="0"/>
        <w:ind w:right="0" w:firstLine="60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人民币（大写）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r>
        <w:rPr>
          <w:color w:val="000000"/>
          <w:position w:val="0"/>
          <w:sz w:val="24"/>
          <w:szCs w:val="24"/>
          <w:rFonts w:ascii="宋体"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其中：</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（1）安全文明施工费：</w:t>
      </w:r>
    </w:p>
    <w:p>
      <w:pPr>
        <w:numPr>
          <w:ilvl w:val="0"/>
          <w:numId w:val="0"/>
        </w:numPr>
        <w:jc w:val="both"/>
        <w:spacing w:lineRule="auto" w:line="360" w:before="0" w:after="0"/>
        <w:ind w:right="0" w:firstLine="10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人民币（大写）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r>
        <w:rPr>
          <w:color w:val="000000"/>
          <w:position w:val="0"/>
          <w:sz w:val="24"/>
          <w:szCs w:val="24"/>
          <w:rFonts w:ascii="宋体"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（2）材料和工程设备暂估价金额：</w:t>
      </w:r>
    </w:p>
    <w:p>
      <w:pPr>
        <w:numPr>
          <w:ilvl w:val="0"/>
          <w:numId w:val="0"/>
        </w:numPr>
        <w:jc w:val="both"/>
        <w:spacing w:lineRule="auto" w:line="360" w:before="0" w:after="0"/>
        <w:ind w:right="0" w:firstLine="10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人民币（大写）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r>
        <w:rPr>
          <w:color w:val="000000"/>
          <w:position w:val="0"/>
          <w:sz w:val="24"/>
          <w:szCs w:val="24"/>
          <w:rFonts w:ascii="宋体"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（3）专业工程暂估价金额：</w:t>
      </w:r>
    </w:p>
    <w:p>
      <w:pPr>
        <w:numPr>
          <w:ilvl w:val="0"/>
          <w:numId w:val="0"/>
        </w:numPr>
        <w:jc w:val="both"/>
        <w:spacing w:lineRule="auto" w:line="360" w:before="0" w:after="0"/>
        <w:ind w:right="0" w:firstLine="10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人民币（大写）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r>
        <w:rPr>
          <w:color w:val="000000"/>
          <w:position w:val="0"/>
          <w:sz w:val="24"/>
          <w:szCs w:val="24"/>
          <w:rFonts w:ascii="宋体"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（4）暂列金额：</w:t>
      </w:r>
    </w:p>
    <w:p>
      <w:pPr>
        <w:numPr>
          <w:ilvl w:val="0"/>
          <w:numId w:val="0"/>
        </w:numPr>
        <w:jc w:val="both"/>
        <w:spacing w:lineRule="auto" w:line="360" w:before="0" w:after="0"/>
        <w:ind w:right="0" w:firstLine="10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人民币（大写）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r>
        <w:rPr>
          <w:color w:val="000000"/>
          <w:position w:val="0"/>
          <w:sz w:val="24"/>
          <w:szCs w:val="24"/>
          <w:rFonts w:ascii="宋体"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2.合同价格形式：</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4" w:name="_Toc351203485"/>
      <w:r>
        <w:rPr>
          <w:color w:val="000000"/>
          <w:position w:val="0"/>
          <w:sz w:val="24"/>
          <w:szCs w:val="24"/>
          <w:rFonts w:ascii="仿宋" w:eastAsia="仿宋" w:hAnsi="仿宋" w:hint="default"/>
        </w:rPr>
        <w:t>五、</w:t>
      </w:r>
      <w:bookmarkEnd w:id="34"/>
      <w:r>
        <w:rPr>
          <w:color w:val="000000"/>
          <w:position w:val="0"/>
          <w:sz w:val="24"/>
          <w:szCs w:val="24"/>
          <w:rFonts w:ascii="仿宋" w:eastAsia="仿宋" w:hAnsi="仿宋" w:hint="default"/>
        </w:rPr>
        <w:t>项目经理</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承包人项目经理：</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5" w:name="_Toc351203486"/>
      <w:r>
        <w:rPr>
          <w:color w:val="000000"/>
          <w:position w:val="0"/>
          <w:sz w:val="24"/>
          <w:szCs w:val="24"/>
          <w:rFonts w:ascii="仿宋" w:eastAsia="仿宋" w:hAnsi="仿宋" w:hint="default"/>
        </w:rPr>
        <w:t>六、合同文件构成</w:t>
      </w:r>
      <w:bookmarkEnd w:id="35"/>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本协议书与下列文件一起构成合同文件：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（1）中标通知书（如果有）；</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 xml:space="preserve">（2）投标函及其附录（如果有）；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（3）专用合同条款及其附件；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（4）通用合同条款；</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（5）技术标准和要求；</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（6）图纸；</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（7）已标价工程量清单或预算书；</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（8）其他合同文件。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在合同订立及履行过程中形成的与合同有关的文件均构成合同文件组成部</w:t>
      </w:r>
      <w:r>
        <w:rPr>
          <w:color w:val="000000"/>
          <w:position w:val="0"/>
          <w:sz w:val="24"/>
          <w:szCs w:val="24"/>
          <w:rFonts w:ascii="仿宋" w:eastAsia="仿宋" w:hAnsi="仿宋" w:hint="default"/>
        </w:rPr>
        <w:t>分。</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上述各项合同文件包括合同当事人就该项合同文件所作出的补充和修改，</w:t>
      </w:r>
      <w:r>
        <w:rPr>
          <w:color w:val="000000"/>
          <w:position w:val="0"/>
          <w:sz w:val="24"/>
          <w:szCs w:val="24"/>
          <w:rFonts w:ascii="仿宋" w:eastAsia="仿宋" w:hAnsi="仿宋" w:hint="default"/>
        </w:rPr>
        <w:t>属于同一类内容的文件，应以最新签署的为准。专用合同条款及其附件须经合同</w:t>
      </w:r>
      <w:r>
        <w:rPr>
          <w:color w:val="000000"/>
          <w:position w:val="0"/>
          <w:sz w:val="24"/>
          <w:szCs w:val="24"/>
          <w:rFonts w:ascii="仿宋" w:eastAsia="仿宋" w:hAnsi="仿宋" w:hint="default"/>
        </w:rPr>
        <w:t>当事人签字或盖章。</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6" w:name="_Toc351203487"/>
      <w:r>
        <w:rPr>
          <w:color w:val="000000"/>
          <w:position w:val="0"/>
          <w:sz w:val="24"/>
          <w:szCs w:val="24"/>
          <w:rFonts w:ascii="仿宋" w:eastAsia="仿宋" w:hAnsi="仿宋" w:hint="default"/>
        </w:rPr>
        <w:t>七、承诺</w:t>
      </w:r>
      <w:bookmarkEnd w:id="3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1.发包人承诺按照法律规定履行项目审批手续、筹集工程建设资金并按照合</w:t>
      </w:r>
      <w:r>
        <w:rPr>
          <w:color w:val="000000"/>
          <w:position w:val="0"/>
          <w:sz w:val="24"/>
          <w:szCs w:val="24"/>
          <w:rFonts w:ascii="仿宋" w:eastAsia="仿宋" w:hAnsi="仿宋" w:hint="default"/>
        </w:rPr>
        <w:t>同约定的期限和方式支付合同价款。</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2.承包人承诺按照法律规定及合同约定组织完成工程施工，确保工程质量</w:t>
      </w:r>
      <w:r>
        <w:rPr>
          <w:color w:val="000000"/>
          <w:position w:val="0"/>
          <w:sz w:val="24"/>
          <w:szCs w:val="24"/>
          <w:rFonts w:ascii="仿宋" w:eastAsia="仿宋" w:hAnsi="仿宋" w:hint="default"/>
        </w:rPr>
        <w:t>和安全，不进行转包及违法分包，并在缺陷责任期及保修期内承担相应的工程</w:t>
      </w:r>
      <w:r>
        <w:rPr>
          <w:color w:val="000000"/>
          <w:position w:val="0"/>
          <w:sz w:val="24"/>
          <w:szCs w:val="24"/>
          <w:rFonts w:ascii="仿宋" w:eastAsia="仿宋" w:hAnsi="仿宋" w:hint="default"/>
        </w:rPr>
        <w:t>维修责任。</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3.发包人和承包人通过招投标形式签订合同的，双方理解并承诺不再就同</w:t>
      </w:r>
      <w:r>
        <w:rPr>
          <w:color w:val="000000"/>
          <w:position w:val="0"/>
          <w:sz w:val="24"/>
          <w:szCs w:val="24"/>
          <w:rFonts w:ascii="仿宋" w:eastAsia="仿宋" w:hAnsi="仿宋" w:hint="default"/>
        </w:rPr>
        <w:t>一工程另行签订与合同实质性内容相背离的协议。</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bookmarkStart w:id="37" w:name="_Toc351203488"/>
      <w:r>
        <w:rPr>
          <w:b w:val="1"/>
          <w:color w:val="000000"/>
          <w:position w:val="0"/>
          <w:sz w:val="24"/>
          <w:szCs w:val="24"/>
          <w:rFonts w:ascii="仿宋" w:eastAsia="仿宋" w:hAnsi="仿宋" w:hint="default"/>
        </w:rPr>
        <w:t xml:space="preserve">    八、词语含义</w:t>
      </w:r>
      <w:bookmarkEnd w:id="37"/>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本协议书中词语含义与第二部分通用合同条款中赋予的含义相同。</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8" w:name="_Toc351203489"/>
      <w:r>
        <w:rPr>
          <w:color w:val="000000"/>
          <w:position w:val="0"/>
          <w:sz w:val="24"/>
          <w:szCs w:val="24"/>
          <w:rFonts w:ascii="仿宋" w:eastAsia="仿宋" w:hAnsi="仿宋" w:hint="default"/>
        </w:rPr>
        <w:t>九、签订时间</w:t>
      </w:r>
      <w:bookmarkEnd w:id="3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本合同于</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月</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日签订。</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39" w:name="_Toc351203490"/>
      <w:r>
        <w:rPr>
          <w:color w:val="000000"/>
          <w:position w:val="0"/>
          <w:sz w:val="24"/>
          <w:szCs w:val="24"/>
          <w:rFonts w:ascii="仿宋" w:eastAsia="仿宋" w:hAnsi="仿宋" w:hint="default"/>
        </w:rPr>
        <w:t>十、签订地点</w:t>
      </w:r>
      <w:bookmarkEnd w:id="3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本合同在</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签订。</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40" w:name="_Toc351203491"/>
      <w:r>
        <w:rPr>
          <w:color w:val="000000"/>
          <w:position w:val="0"/>
          <w:sz w:val="24"/>
          <w:szCs w:val="24"/>
          <w:rFonts w:ascii="仿宋" w:eastAsia="仿宋" w:hAnsi="仿宋" w:hint="default"/>
        </w:rPr>
        <w:t>十一、补充协议</w:t>
      </w:r>
      <w:bookmarkEnd w:id="40"/>
    </w:p>
    <w:p>
      <w:pPr>
        <w:numPr>
          <w:ilvl w:val="0"/>
          <w:numId w:val="0"/>
        </w:numPr>
        <w:jc w:val="both"/>
        <w:spacing w:lineRule="auto" w:line="360" w:before="0" w:after="0"/>
        <w:ind w:right="0" w:firstLine="480"/>
        <w:rPr>
          <w:b w:val="1"/>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合同未尽事宜，合同当事人另行签订补充协议，补充协议是合同的组成部</w:t>
      </w:r>
      <w:r>
        <w:rPr>
          <w:color w:val="000000"/>
          <w:position w:val="0"/>
          <w:sz w:val="24"/>
          <w:szCs w:val="24"/>
          <w:rFonts w:ascii="仿宋" w:eastAsia="仿宋" w:hAnsi="仿宋" w:hint="default"/>
        </w:rPr>
        <w:t>分。</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41" w:name="_Toc351203492"/>
      <w:r>
        <w:rPr>
          <w:color w:val="000000"/>
          <w:position w:val="0"/>
          <w:sz w:val="24"/>
          <w:szCs w:val="24"/>
          <w:rFonts w:ascii="仿宋" w:eastAsia="仿宋" w:hAnsi="仿宋" w:hint="default"/>
        </w:rPr>
        <w:t>十二、合同生效</w:t>
      </w:r>
      <w:bookmarkEnd w:id="41"/>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本合同自</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生效。</w:t>
      </w:r>
    </w:p>
    <w:p>
      <w:pPr>
        <w:numPr>
          <w:ilvl w:val="0"/>
          <w:numId w:val="0"/>
        </w:numPr>
        <w:jc w:val="left"/>
        <w:spacing w:lineRule="auto" w:line="240" w:before="0" w:after="20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w:t>
      </w:r>
      <w:bookmarkStart w:id="42" w:name="_Toc351203493"/>
      <w:r>
        <w:rPr>
          <w:color w:val="000000"/>
          <w:position w:val="0"/>
          <w:sz w:val="24"/>
          <w:szCs w:val="24"/>
          <w:rFonts w:ascii="仿宋" w:eastAsia="仿宋" w:hAnsi="仿宋" w:hint="default"/>
        </w:rPr>
        <w:t>十三、合同份数</w:t>
      </w:r>
      <w:bookmarkEnd w:id="42"/>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本合同一式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份，均具有同等法律效力，发包人执</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份，承包人执</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份。</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p>
    <w:p>
      <w:pPr>
        <w:numPr>
          <w:ilvl w:val="0"/>
          <w:numId w:val="0"/>
        </w:numPr>
        <w:jc w:val="both"/>
        <w:spacing w:lineRule="auto" w:line="360" w:before="0" w:after="0"/>
        <w:ind w:right="0" w:firstLine="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发包人：  (公章)                    承包人：  (公章)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法定代表人或其委托代理人：          法定代表人或其委托代理人：</w:t>
      </w:r>
    </w:p>
    <w:p>
      <w:pPr>
        <w:numPr>
          <w:ilvl w:val="0"/>
          <w:numId w:val="0"/>
        </w:numPr>
        <w:jc w:val="both"/>
        <w:spacing w:lineRule="auto" w:line="360" w:before="0" w:after="0"/>
        <w:ind w:right="0" w:firstLine="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（签字）                              （签字）</w:t>
      </w:r>
    </w:p>
    <w:p>
      <w:pPr>
        <w:numPr>
          <w:ilvl w:val="0"/>
          <w:numId w:val="0"/>
        </w:numPr>
        <w:jc w:val="both"/>
        <w:spacing w:lineRule="auto" w:line="360" w:before="0" w:after="0"/>
        <w:ind w:right="0" w:firstLine="0"/>
        <w:tabs>
          <w:tab w:val="left" w:pos="4410"/>
        </w:tabs>
        <w:rPr>
          <w:color w:val="000000"/>
          <w:position w:val="0"/>
          <w:sz w:val="24"/>
          <w:szCs w:val="24"/>
          <w:rFonts w:ascii="仿宋" w:eastAsia="宋体" w:hAnsi="宋体" w:hint="default"/>
        </w:rPr>
        <w:snapToGrid w:val="off"/>
        <w:autoSpaceDE w:val="1"/>
        <w:autoSpaceDN w:val="1"/>
      </w:pPr>
    </w:p>
    <w:p>
      <w:pPr>
        <w:numPr>
          <w:ilvl w:val="0"/>
          <w:numId w:val="0"/>
        </w:numPr>
        <w:jc w:val="both"/>
        <w:spacing w:lineRule="auto" w:line="360" w:before="0" w:after="0"/>
        <w:ind w:right="0" w:firstLine="0"/>
        <w:tabs>
          <w:tab w:val="left" w:pos="4410"/>
        </w:tabs>
        <w:rPr>
          <w:color w:val="000000"/>
          <w:position w:val="0"/>
          <w:sz w:val="24"/>
          <w:szCs w:val="24"/>
          <w:rFonts w:ascii="仿宋" w:eastAsia="宋体" w:hAnsi="宋体" w:hint="default"/>
        </w:rPr>
        <w:snapToGrid w:val="off"/>
        <w:autoSpaceDE w:val="1"/>
        <w:autoSpaceDN w:val="1"/>
      </w:pPr>
    </w:p>
    <w:p>
      <w:pPr>
        <w:numPr>
          <w:ilvl w:val="0"/>
          <w:numId w:val="0"/>
        </w:numPr>
        <w:jc w:val="both"/>
        <w:spacing w:lineRule="auto" w:line="360" w:before="0" w:after="0"/>
        <w:ind w:right="0" w:firstLine="0"/>
        <w:tabs>
          <w:tab w:val="left" w:pos="4410"/>
        </w:tabs>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统一社会信用代码：</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 xml:space="preserve">       统一社会信用代码：</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地  址：</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 xml:space="preserve">            地  址：</w:t>
      </w:r>
      <w:r>
        <w:rPr>
          <w:color w:val="000000"/>
          <w:position w:val="0"/>
          <w:sz w:val="24"/>
          <w:szCs w:val="24"/>
          <w:u w:val="single"/>
          <w:rFonts w:ascii="仿宋" w:eastAsia="仿宋" w:hAnsi="仿宋" w:hint="default"/>
        </w:rPr>
        <w:t xml:space="preserve">    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邮政编码：</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 xml:space="preserve">            邮政编码：</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法定代表人：</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 xml:space="preserve">            法定代表人：</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委托代理人：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委托代理人：</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电  话：</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电  话：</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传  真：</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传  真：</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电子信箱：</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开户银行：</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开户银行：</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0"/>
        <w:rPr>
          <w:color w:val="auto"/>
          <w:position w:val="0"/>
          <w:sz w:val="28"/>
          <w:szCs w:val="28"/>
          <w:rFonts w:ascii="宋体" w:eastAsia="宋体" w:hAnsi="宋体" w:hint="default"/>
        </w:rPr>
        <w:snapToGrid w:val="off"/>
        <w:autoSpaceDE w:val="1"/>
        <w:autoSpaceDN w:val="1"/>
      </w:pPr>
      <w:r>
        <w:rPr>
          <w:color w:val="000000"/>
          <w:position w:val="0"/>
          <w:sz w:val="24"/>
          <w:szCs w:val="24"/>
          <w:rFonts w:ascii="仿宋" w:eastAsia="仿宋" w:hAnsi="仿宋" w:hint="default"/>
        </w:rPr>
        <w:t xml:space="preserve">账  号：</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 xml:space="preserve">            账  号：</w:t>
      </w:r>
      <w:r>
        <w:rPr>
          <w:color w:val="000000"/>
          <w:position w:val="0"/>
          <w:sz w:val="24"/>
          <w:szCs w:val="24"/>
          <w:u w:val="single"/>
          <w:rFonts w:ascii="仿宋" w:eastAsia="仿宋" w:hAnsi="仿宋" w:hint="default"/>
        </w:rPr>
        <w:t xml:space="preserve">       </w:t>
      </w:r>
      <w:r>
        <w:rPr>
          <w:color w:val="000000"/>
          <w:position w:val="0"/>
          <w:sz w:val="28"/>
          <w:szCs w:val="28"/>
          <w:u w:val="single"/>
          <w:rFonts w:ascii="宋体" w:eastAsia="Tahoma" w:hAnsi="Tahoma" w:hint="default"/>
        </w:rPr>
        <w:t xml:space="preserve"> </w:t>
      </w: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bookmarkStart w:id="43" w:name="_Toc467049284"/>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宋体" w:hAnsi="宋体"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center"/>
        <w:spacing w:lineRule="auto" w:line="240" w:before="0" w:after="200"/>
        <w:ind w:right="0" w:firstLine="0"/>
        <w:rPr>
          <w:color w:val="auto"/>
          <w:position w:val="0"/>
          <w:sz w:val="28"/>
          <w:szCs w:val="28"/>
          <w:rFonts w:ascii="宋体" w:eastAsia="宋体" w:hAnsi="宋体" w:hint="default"/>
        </w:rPr>
        <w:snapToGrid w:val="off"/>
        <w:autoSpaceDE w:val="1"/>
        <w:autoSpaceDN w:val="1"/>
      </w:pPr>
      <w:r>
        <w:rPr>
          <w:color w:val="auto"/>
          <w:position w:val="0"/>
          <w:sz w:val="28"/>
          <w:szCs w:val="28"/>
          <w:rFonts w:ascii="宋体" w:eastAsia="Tahoma" w:hAnsi="Tahoma" w:hint="default"/>
        </w:rPr>
        <w:t xml:space="preserve">第二部分 通用合同条款（略）</w:t>
      </w:r>
      <w:bookmarkEnd w:id="43"/>
    </w:p>
    <w:p>
      <w:pPr>
        <w:numPr>
          <w:ilvl w:val="0"/>
          <w:numId w:val="0"/>
        </w:numPr>
        <w:jc w:val="center"/>
        <w:spacing w:lineRule="auto" w:line="240" w:before="0" w:after="200"/>
        <w:ind w:right="0" w:firstLine="0"/>
        <w:rPr>
          <w:color w:val="auto"/>
          <w:position w:val="0"/>
          <w:sz w:val="28"/>
          <w:szCs w:val="28"/>
          <w:rFonts w:ascii="宋体" w:eastAsia="宋体" w:hAnsi="宋体" w:hint="default"/>
        </w:rPr>
        <w:snapToGrid w:val="off"/>
        <w:autoSpaceDE w:val="1"/>
        <w:autoSpaceDN w:val="1"/>
      </w:pPr>
      <w:bookmarkStart w:id="44" w:name="_Toc467049285"/>
      <w:r>
        <w:rPr>
          <w:color w:val="auto"/>
          <w:position w:val="0"/>
          <w:sz w:val="28"/>
          <w:szCs w:val="28"/>
          <w:rFonts w:ascii="宋体" w:eastAsia="Tahoma" w:hAnsi="Tahoma" w:hint="default"/>
        </w:rPr>
        <w:t xml:space="preserve">第三部分 专用合同条款</w:t>
      </w:r>
      <w:bookmarkEnd w:id="44"/>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45" w:name="_Toc351203633"/>
      <w:r>
        <w:rPr>
          <w:color w:val="000000"/>
          <w:position w:val="0"/>
          <w:sz w:val="24"/>
          <w:szCs w:val="24"/>
          <w:rFonts w:ascii="仿宋" w:eastAsia="仿宋" w:hAnsi="仿宋" w:hint="default"/>
        </w:rPr>
        <w:t>1</w:t>
      </w:r>
      <w:bookmarkStart w:id="46" w:name="_Toc296944495"/>
      <w:bookmarkStart w:id="47" w:name="_Toc296891196"/>
      <w:bookmarkStart w:id="48" w:name="_Toc296890984"/>
      <w:bookmarkStart w:id="49" w:name="_Toc297048342"/>
      <w:bookmarkStart w:id="50" w:name="_Toc296503156"/>
      <w:bookmarkStart w:id="51" w:name="_Toc296346657"/>
      <w:bookmarkStart w:id="52" w:name="_Toc292559361"/>
      <w:bookmarkStart w:id="53" w:name="_Toc292559866"/>
      <w:bookmarkStart w:id="54" w:name="_Toc297120456"/>
      <w:bookmarkStart w:id="55" w:name="_Toc296347155"/>
      <w:r>
        <w:rPr>
          <w:color w:val="000000"/>
          <w:position w:val="0"/>
          <w:sz w:val="24"/>
          <w:szCs w:val="24"/>
          <w:rFonts w:ascii="仿宋" w:eastAsia="仿宋" w:hAnsi="仿宋" w:hint="default"/>
        </w:rPr>
        <w:t xml:space="preserve">. 一般约定</w:t>
      </w:r>
      <w:bookmarkEnd w:id="45"/>
      <w:bookmarkEnd w:id="46"/>
      <w:bookmarkEnd w:id="47"/>
      <w:bookmarkEnd w:id="48"/>
      <w:bookmarkEnd w:id="49"/>
      <w:bookmarkEnd w:id="50"/>
      <w:bookmarkEnd w:id="51"/>
      <w:bookmarkEnd w:id="52"/>
      <w:bookmarkEnd w:id="53"/>
      <w:bookmarkEnd w:id="54"/>
      <w:bookmarkEnd w:id="55"/>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 词语定义</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1.1.1合同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1.1.1.10其他合同文件包括：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1.1.2 合同当事人及其他相关方</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1.1.2.4监理人：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名    称：</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资质类别和等级：</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联系电话：</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通信地址：</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1.1.2.5 设计人：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名    称：</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资质类别和等级：</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联系电话：</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通信地址：</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1.1.3 工程和设备</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1.1.3.7 作为施工现场组成部分的其他场所包括：</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1.1.3.9 永久占地包括：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1.1.3.10 临时占地包括：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1.3法律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适用于合同的其他规范性文件：</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 标准和规范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1.4.1适用于工程的标准规范包括：</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1.4.2 发包人提供国外标准、规范的名称：</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发包人提供国外标准、规范的份数：</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发包人提供国外标准、规范的名称：</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left="625"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1.4.3发包人对工程的技术标准和功能要求的特殊要求：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 合同文件的优先顺序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合同文件组成及优先顺序为：</w:t>
      </w:r>
      <w:r>
        <w:rPr>
          <w:color w:val="000000"/>
          <w:position w:val="0"/>
          <w:sz w:val="24"/>
          <w:szCs w:val="24"/>
          <w:u w:val="single"/>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 图纸和承包人文件</w:t>
      </w:r>
      <w:r>
        <w:rPr>
          <w:color w:val="000000"/>
          <w:position w:val="0"/>
          <w:sz w:val="24"/>
          <w:szCs w:val="24"/>
          <w:rFonts w:ascii="仿宋" w:eastAsia="仿宋" w:hAnsi="仿宋" w:hint="default"/>
        </w:rPr>
        <w:tab/>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1.6.1 图纸的提供</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发包人向承包人提供图纸的期限：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发包人向承包人提供图纸的数量：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发包人向承包人提供图纸的内容：</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1.6.4 承包人文件</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需要由承包人提供的文件，包括：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承包人提供的文件的期限为：</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承包人提供的文件的数量为：</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承包人提供的文件的形式为：</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发包人审批承包人文件的期限：</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1.6.5 现场图纸准备</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关于现场图纸准备的约定：</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1.7 联络</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1.7.1发包人和承包人应当在</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天内将与合同有关的通知、批准、证明</w:t>
      </w:r>
      <w:r>
        <w:rPr>
          <w:color w:val="000000"/>
          <w:position w:val="0"/>
          <w:sz w:val="24"/>
          <w:szCs w:val="24"/>
          <w:rFonts w:ascii="仿宋" w:eastAsia="仿宋" w:hAnsi="仿宋" w:hint="default"/>
        </w:rPr>
        <w:t>、证书、指示、指令、要求、请求、同意、意见、确定和决定等书面函件送达</w:t>
      </w:r>
      <w:r>
        <w:rPr>
          <w:color w:val="000000"/>
          <w:position w:val="0"/>
          <w:sz w:val="24"/>
          <w:szCs w:val="24"/>
          <w:rFonts w:ascii="仿宋" w:eastAsia="仿宋" w:hAnsi="仿宋" w:hint="default"/>
        </w:rPr>
        <w:t>对方当事人。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1.7.2 发包人接收文件的地点：</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发包人指定的接收人为：</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承包人接收文件的地点：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承包人指定的接收人为：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监理人接收文件的地点：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监理人指定的接收人为：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1.10 交通运输</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w:t>
      </w:r>
      <w:bookmarkStart w:id="56" w:name="_Toc300934943"/>
      <w:bookmarkStart w:id="57" w:name="_Toc318581155"/>
      <w:bookmarkStart w:id="58" w:name="_Toc312677986"/>
      <w:bookmarkStart w:id="59" w:name="_Toc304295521"/>
      <w:bookmarkStart w:id="60" w:name="_Toc303539100"/>
      <w:r>
        <w:rPr>
          <w:color w:val="auto"/>
          <w:position w:val="0"/>
          <w:sz w:val="24"/>
          <w:szCs w:val="24"/>
          <w:rFonts w:ascii="仿宋" w:eastAsia="仿宋" w:hAnsi="仿宋" w:hint="default"/>
        </w:rPr>
        <w:t xml:space="preserve">.10.1 出入现场的权利</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关于出入现场的权利的约定：</w:t>
      </w:r>
      <w:r>
        <w:rPr>
          <w:color w:val="000000"/>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bookmarkEnd w:id="56"/>
      <w:bookmarkEnd w:id="57"/>
      <w:bookmarkEnd w:id="58"/>
      <w:bookmarkEnd w:id="59"/>
      <w:bookmarkEnd w:id="60"/>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w:t>
      </w:r>
      <w:bookmarkStart w:id="61" w:name="_Toc300934944"/>
      <w:bookmarkStart w:id="62" w:name="_Toc303539101"/>
      <w:bookmarkStart w:id="63" w:name="_Toc304295522"/>
      <w:bookmarkStart w:id="64" w:name="_Toc312677987"/>
      <w:bookmarkStart w:id="65" w:name="_Toc318581156"/>
      <w:r>
        <w:rPr>
          <w:color w:val="auto"/>
          <w:position w:val="0"/>
          <w:sz w:val="24"/>
          <w:szCs w:val="24"/>
          <w:rFonts w:ascii="仿宋" w:eastAsia="仿宋" w:hAnsi="仿宋" w:hint="default"/>
        </w:rPr>
        <w:t xml:space="preserve">.10.3 场内交通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关于场外交通和场内交通的边界的约定：</w:t>
      </w:r>
      <w:r>
        <w:rPr>
          <w:color w:val="000000"/>
          <w:position w:val="0"/>
          <w:sz w:val="24"/>
          <w:szCs w:val="24"/>
          <w:u w:val="single"/>
          <w:rFonts w:ascii="仿宋" w:eastAsia="仿宋" w:hAnsi="仿宋" w:hint="default"/>
        </w:rPr>
        <w:t></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关于发包人向承包人免费提供满足工程施工需要的场内道路和交通设施的</w:t>
      </w:r>
      <w:r>
        <w:rPr>
          <w:color w:val="auto"/>
          <w:position w:val="0"/>
          <w:sz w:val="24"/>
          <w:szCs w:val="24"/>
          <w:rFonts w:ascii="仿宋" w:eastAsia="仿宋" w:hAnsi="仿宋" w:hint="default"/>
        </w:rPr>
        <w:t>约定：</w:t>
      </w:r>
      <w:r>
        <w:rPr>
          <w:color w:val="000000"/>
          <w:position w:val="0"/>
          <w:sz w:val="24"/>
          <w:szCs w:val="24"/>
          <w:u w:val="single"/>
          <w:rFonts w:ascii="仿宋" w:eastAsia="仿宋" w:hAnsi="仿宋" w:hint="default"/>
        </w:rPr>
        <w:t></w:t>
      </w:r>
      <w:r>
        <w:rPr>
          <w:color w:val="auto"/>
          <w:position w:val="0"/>
          <w:sz w:val="24"/>
          <w:szCs w:val="24"/>
          <w:rFonts w:ascii="仿宋" w:eastAsia="仿宋" w:hAnsi="仿宋" w:hint="default"/>
        </w:rPr>
        <w:t>。</w:t>
      </w:r>
      <w:bookmarkEnd w:id="61"/>
      <w:bookmarkEnd w:id="62"/>
      <w:bookmarkEnd w:id="63"/>
      <w:bookmarkEnd w:id="64"/>
      <w:bookmarkEnd w:id="65"/>
      <w:r>
        <w:rPr>
          <w:color w:val="auto"/>
          <w:position w:val="0"/>
          <w:sz w:val="24"/>
          <w:szCs w:val="24"/>
          <w:rFonts w:ascii="仿宋" w:eastAsia="仿宋" w:hAnsi="仿宋" w:hint="default"/>
        </w:rPr>
        <w:t xml:space="preserve">  </w:t>
      </w:r>
      <w:bookmarkStart w:id="66" w:name="_Toc318581157"/>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1.10.4超大件和超重件的运输</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运输超大件或超重件所需的道路和桥梁临时加固改造费用和其他有关费用</w:t>
      </w:r>
      <w:r>
        <w:rPr>
          <w:color w:val="auto"/>
          <w:position w:val="0"/>
          <w:sz w:val="24"/>
          <w:szCs w:val="24"/>
          <w:rFonts w:ascii="仿宋" w:eastAsia="仿宋" w:hAnsi="仿宋" w:hint="default"/>
        </w:rPr>
        <w:t>由</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承担。</w:t>
      </w:r>
      <w:bookmarkEnd w:id="6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1.11 知识产权</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1.11.1关于发包人提供给承包人的图纸、发包人为实施工程自行编制或委</w:t>
      </w:r>
      <w:r>
        <w:rPr>
          <w:color w:val="000000"/>
          <w:position w:val="0"/>
          <w:sz w:val="24"/>
          <w:szCs w:val="24"/>
          <w:rFonts w:ascii="仿宋" w:eastAsia="仿宋" w:hAnsi="仿宋" w:hint="default"/>
        </w:rPr>
        <w:t>托编制的技术规范以及反映发包人关于合同要求或其他类似性质的文件的著作</w:t>
      </w:r>
      <w:r>
        <w:rPr>
          <w:color w:val="000000"/>
          <w:position w:val="0"/>
          <w:sz w:val="24"/>
          <w:szCs w:val="24"/>
          <w:rFonts w:ascii="仿宋" w:eastAsia="仿宋" w:hAnsi="仿宋" w:hint="default"/>
        </w:rPr>
        <w:t>权的归属：</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关于发包人提供的上述文件的使用限制的要求：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1.11.2 关于承包人为实施工程所编制文件的著作权的归属：</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关于承包人提供的上述文件的使用限制的要求：</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1.11.4 承包人在施工过程中所采用的专利、专有技术、技术秘密的使用费的</w:t>
      </w:r>
      <w:r>
        <w:rPr>
          <w:color w:val="000000"/>
          <w:position w:val="0"/>
          <w:sz w:val="24"/>
          <w:szCs w:val="24"/>
          <w:rFonts w:ascii="仿宋" w:eastAsia="仿宋" w:hAnsi="仿宋" w:hint="default"/>
        </w:rPr>
        <w:t>承担方式：</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1.13工程量清单错误的修正</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出现工程量清单错误时，是否调整合同价格：</w:t>
      </w:r>
      <w:r>
        <w:rPr>
          <w:color w:val="000000"/>
          <w:position w:val="0"/>
          <w:sz w:val="24"/>
          <w:szCs w:val="24"/>
          <w:u w:val="single"/>
          <w:rFonts w:ascii="仿宋" w:eastAsia="仿宋" w:hAnsi="仿宋" w:hint="default"/>
        </w:rPr>
        <w:t xml:space="preserve">    </w:t>
      </w:r>
      <w:r>
        <w:rPr>
          <w:b w:val="1"/>
          <w:color w:val="000000"/>
          <w:position w:val="0"/>
          <w:sz w:val="24"/>
          <w:szCs w:val="24"/>
          <w:u w:val="single"/>
          <w:rFonts w:ascii="仿宋" w:eastAsia="仿宋" w:hAnsi="仿宋" w:hint="default"/>
        </w:rPr>
        <w:t xml:space="preserve"> 不调整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允许调整合同价格的工程量偏差范围：</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67" w:name="_Toc351203634"/>
      <w:r>
        <w:rPr>
          <w:color w:val="000000"/>
          <w:position w:val="0"/>
          <w:sz w:val="24"/>
          <w:szCs w:val="24"/>
          <w:rFonts w:ascii="仿宋" w:eastAsia="仿宋" w:hAnsi="仿宋" w:hint="default"/>
        </w:rPr>
        <w:t>2</w:t>
      </w:r>
      <w:bookmarkStart w:id="68" w:name="_Toc292559362"/>
      <w:bookmarkStart w:id="69" w:name="_Toc292559867"/>
      <w:bookmarkStart w:id="70" w:name="_Toc296346658"/>
      <w:bookmarkStart w:id="71" w:name="_Toc296347156"/>
      <w:bookmarkStart w:id="72" w:name="_Toc296503157"/>
      <w:bookmarkStart w:id="73" w:name="_Toc296890985"/>
      <w:bookmarkStart w:id="74" w:name="_Toc296891197"/>
      <w:bookmarkStart w:id="75" w:name="_Toc296944496"/>
      <w:bookmarkStart w:id="76" w:name="_Toc297048343"/>
      <w:bookmarkStart w:id="77" w:name="_Toc297120457"/>
      <w:r>
        <w:rPr>
          <w:color w:val="000000"/>
          <w:position w:val="0"/>
          <w:sz w:val="24"/>
          <w:szCs w:val="24"/>
          <w:rFonts w:ascii="仿宋" w:eastAsia="仿宋" w:hAnsi="仿宋" w:hint="default"/>
        </w:rPr>
        <w:t xml:space="preserve">. 发包人</w:t>
      </w:r>
      <w:bookmarkEnd w:id="67"/>
      <w:bookmarkEnd w:id="68"/>
      <w:bookmarkEnd w:id="69"/>
      <w:bookmarkEnd w:id="70"/>
      <w:bookmarkEnd w:id="71"/>
      <w:bookmarkEnd w:id="72"/>
      <w:bookmarkEnd w:id="73"/>
      <w:bookmarkEnd w:id="74"/>
      <w:bookmarkEnd w:id="75"/>
      <w:bookmarkEnd w:id="76"/>
      <w:bookmarkEnd w:id="77"/>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2.2 发包人代表</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发包人代表：</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姓    名：</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身份证号：</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职    务：</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联系电话：</w:t>
      </w:r>
      <w:r>
        <w:rPr>
          <w:color w:val="000000"/>
          <w:position w:val="0"/>
          <w:sz w:val="24"/>
          <w:szCs w:val="24"/>
          <w:u w:val="single"/>
          <w:rFonts w:ascii="仿宋" w:eastAsia="仿宋" w:hAnsi="仿宋" w:hint="default"/>
        </w:rPr>
        <w:t xml:space="preserve">  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通信地址：</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b w:val="1"/>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发包人对发包人代表的授权范围如下：</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2.4 施工现场、施工条件和基础资料的提供</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2.4.1 提供施工现场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关于发包人移交施工现场的期限要求：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2.4.2 提供施工条件</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关于发包人应负责提供施工所需要的条件，包括：</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2.5 资金来源证明及支付担保</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发包人提供资金来源证明的期限要求：</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发包人是否提供支付担保：</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发包人提供支付担保的形式：</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78" w:name="_Toc351203635"/>
      <w:r>
        <w:rPr>
          <w:color w:val="000000"/>
          <w:position w:val="0"/>
          <w:sz w:val="24"/>
          <w:szCs w:val="24"/>
          <w:rFonts w:ascii="仿宋" w:eastAsia="仿宋" w:hAnsi="仿宋" w:hint="default"/>
        </w:rPr>
        <w:t>3</w:t>
      </w:r>
      <w:bookmarkStart w:id="79" w:name="_Toc292559363"/>
      <w:bookmarkStart w:id="80" w:name="_Toc292559868"/>
      <w:bookmarkStart w:id="81" w:name="_Toc296346659"/>
      <w:bookmarkStart w:id="82" w:name="_Toc296347157"/>
      <w:bookmarkStart w:id="83" w:name="_Toc296503158"/>
      <w:bookmarkStart w:id="84" w:name="_Toc296890986"/>
      <w:bookmarkStart w:id="85" w:name="_Toc296891198"/>
      <w:bookmarkStart w:id="86" w:name="_Toc296944497"/>
      <w:bookmarkStart w:id="87" w:name="_Toc297048344"/>
      <w:bookmarkStart w:id="88" w:name="_Toc297120458"/>
      <w:r>
        <w:rPr>
          <w:color w:val="000000"/>
          <w:position w:val="0"/>
          <w:sz w:val="24"/>
          <w:szCs w:val="24"/>
          <w:rFonts w:ascii="仿宋" w:eastAsia="仿宋" w:hAnsi="仿宋" w:hint="default"/>
        </w:rPr>
        <w:t xml:space="preserve">. 承包人</w:t>
      </w:r>
      <w:bookmarkEnd w:id="78"/>
      <w:bookmarkEnd w:id="79"/>
      <w:bookmarkEnd w:id="80"/>
      <w:bookmarkEnd w:id="81"/>
      <w:bookmarkEnd w:id="82"/>
      <w:bookmarkEnd w:id="83"/>
      <w:bookmarkEnd w:id="84"/>
      <w:bookmarkEnd w:id="85"/>
      <w:bookmarkEnd w:id="86"/>
      <w:bookmarkEnd w:id="87"/>
      <w:bookmarkEnd w:id="8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3.1 承包人的一般义务</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（5）承包人提交的竣工资料的内容：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承包人需要提交的竣工资料套数：</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承包人提交的竣工资料的费用承担：</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承包人提交的竣工资料移交时间：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承包人提交的竣工资料形式要求：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（6）承包人应履行的其他义务：</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3.2 项目经理</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3.2.1 项目经理：</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姓    名：</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身份证号：</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建造师执业资格等级：</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建造师注册证书号：</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建造师执业印章号：</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安全生产考核合格证书号：</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联系电话：</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通信地址：</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承包人对项目经理的授权范围如下：</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关于项目经理每月在施工现场的时间要求：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承包人未提交劳动合同，以及没有为项目经理缴纳社会保险证明的违约责</w:t>
      </w:r>
      <w:r>
        <w:rPr>
          <w:color w:val="000000"/>
          <w:position w:val="0"/>
          <w:sz w:val="24"/>
          <w:szCs w:val="24"/>
          <w:rFonts w:ascii="仿宋" w:eastAsia="仿宋" w:hAnsi="仿宋" w:hint="default"/>
        </w:rPr>
        <w:t>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项目经理未经批准，擅自离开施工现场的违约责任：</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3.2.3 承包人擅自更换项目经理的违约责任：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3.2.4 承包人无正当理由拒绝更换项目经理的违约责任：</w:t>
      </w:r>
      <w:r>
        <w:rPr>
          <w:color w:val="000000"/>
          <w:position w:val="0"/>
          <w:sz w:val="24"/>
          <w:szCs w:val="24"/>
          <w:u w:val="single"/>
          <w:rFonts w:ascii="仿宋" w:eastAsia="仿宋" w:hAnsi="仿宋" w:hint="default"/>
        </w:rPr>
        <w:t xml:space="preserve">  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3.3 承包人人员</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3.3.1 承包人提交项目管理机构及施工现场管理人员安排报告的期限：</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3.3.3 承包人无正当理由拒绝撤换主要施工管理人员的违约责任：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3.3.4 承包人主要施工管理人员离开施工现场的批准要求</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3.3.5承包人擅自更换主要施工管理人员的违约责任：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承包人主要施工管理人员擅自离开施工现场的违约责任：</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w:t>
      </w:r>
      <w:bookmarkStart w:id="89" w:name="_Toc292559364"/>
      <w:bookmarkStart w:id="90" w:name="_Toc292559869"/>
      <w:bookmarkStart w:id="91" w:name="_Toc296346660"/>
      <w:bookmarkStart w:id="92" w:name="_Toc296347158"/>
      <w:bookmarkStart w:id="93" w:name="_Toc296503159"/>
      <w:bookmarkStart w:id="94" w:name="_Toc296890987"/>
      <w:bookmarkStart w:id="95" w:name="_Toc296891199"/>
      <w:bookmarkStart w:id="96" w:name="_Toc296944498"/>
      <w:bookmarkStart w:id="97" w:name="_Toc297048345"/>
      <w:bookmarkStart w:id="98" w:name="_Toc297120459"/>
      <w:bookmarkStart w:id="99" w:name="_Toc297123492"/>
      <w:bookmarkStart w:id="100" w:name="_Toc297216151"/>
      <w:bookmarkStart w:id="101" w:name="_Toc300934945"/>
      <w:bookmarkStart w:id="102" w:name="_Toc303539102"/>
      <w:bookmarkStart w:id="103" w:name="_Toc304295523"/>
      <w:bookmarkStart w:id="104" w:name="_Toc312677988"/>
      <w:r>
        <w:rPr>
          <w:color w:val="000000"/>
          <w:position w:val="0"/>
          <w:sz w:val="24"/>
          <w:szCs w:val="24"/>
          <w:rFonts w:ascii="仿宋" w:eastAsia="仿宋" w:hAnsi="仿宋" w:hint="default"/>
        </w:rPr>
        <w:t xml:space="preserve">.5 分包</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3</w:t>
      </w:r>
      <w:bookmarkStart w:id="105" w:name="_Toc292559365"/>
      <w:bookmarkStart w:id="106" w:name="_Toc292559870"/>
      <w:bookmarkStart w:id="107" w:name="_Toc296346661"/>
      <w:bookmarkStart w:id="108" w:name="_Toc296347159"/>
      <w:bookmarkStart w:id="109" w:name="_Toc296503160"/>
      <w:bookmarkStart w:id="110" w:name="_Toc296890988"/>
      <w:bookmarkStart w:id="111" w:name="_Toc296891200"/>
      <w:bookmarkStart w:id="112" w:name="_Toc296944499"/>
      <w:bookmarkStart w:id="113" w:name="_Toc297048346"/>
      <w:bookmarkStart w:id="114" w:name="_Toc297120460"/>
      <w:bookmarkStart w:id="115" w:name="_Toc297123493"/>
      <w:bookmarkStart w:id="116" w:name="_Toc297216152"/>
      <w:bookmarkStart w:id="117" w:name="_Toc300934946"/>
      <w:bookmarkStart w:id="118" w:name="_Toc303539103"/>
      <w:bookmarkStart w:id="119" w:name="_Toc304295524"/>
      <w:bookmarkStart w:id="120" w:name="_Toc312677989"/>
      <w:bookmarkStart w:id="121" w:name="_Toc318581158"/>
      <w:r>
        <w:rPr>
          <w:color w:val="auto"/>
          <w:position w:val="0"/>
          <w:sz w:val="24"/>
          <w:szCs w:val="24"/>
          <w:rFonts w:ascii="仿宋" w:eastAsia="仿宋" w:hAnsi="仿宋" w:hint="default"/>
        </w:rPr>
        <w:t xml:space="preserve">.5.1 分包的一般约定</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禁止分包的工程包括：</w:t>
      </w:r>
      <w:r>
        <w:rPr>
          <w:color w:val="auto"/>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auto"/>
          <w:position w:val="0"/>
          <w:sz w:val="24"/>
          <w:szCs w:val="24"/>
          <w:rFonts w:ascii="仿宋" w:eastAsia="仿宋" w:hAnsi="仿宋" w:hint="default"/>
        </w:rPr>
        <w:t>主体结构、关键性工作的范围：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bookmarkStart w:id="122" w:name="_Toc296346662"/>
      <w:bookmarkStart w:id="123" w:name="_Toc296347160"/>
      <w:bookmarkStart w:id="124" w:name="_Toc296503161"/>
      <w:bookmarkStart w:id="125" w:name="_Toc296890989"/>
      <w:bookmarkStart w:id="126" w:name="_Toc296891201"/>
      <w:bookmarkStart w:id="127" w:name="_Toc296944500"/>
      <w:bookmarkStart w:id="128" w:name="_Toc297048347"/>
      <w:bookmarkStart w:id="129" w:name="_Toc297120461"/>
      <w:bookmarkStart w:id="130" w:name="_Toc297123494"/>
      <w:bookmarkStart w:id="131" w:name="_Toc297216153"/>
      <w:bookmarkStart w:id="132" w:name="_Toc300934947"/>
      <w:bookmarkStart w:id="133" w:name="_Toc303539104"/>
      <w:bookmarkStart w:id="134" w:name="_Toc30429552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 3</w:t>
      </w:r>
      <w:bookmarkStart w:id="135" w:name="_Toc312677990"/>
      <w:bookmarkStart w:id="136" w:name="_Toc318581159"/>
      <w:r>
        <w:rPr>
          <w:color w:val="auto"/>
          <w:position w:val="0"/>
          <w:sz w:val="24"/>
          <w:szCs w:val="24"/>
          <w:rFonts w:ascii="仿宋" w:eastAsia="仿宋" w:hAnsi="仿宋" w:hint="default"/>
        </w:rPr>
        <w:t>.5.2分包的确定</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auto"/>
          <w:position w:val="0"/>
          <w:sz w:val="24"/>
          <w:szCs w:val="24"/>
          <w:rFonts w:ascii="仿宋" w:eastAsia="仿宋" w:hAnsi="仿宋" w:hint="default"/>
        </w:rPr>
        <w:t>允许分包的专业工程包括：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其他关于分包的约定：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3.5.4 分包合同价款</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关于分包合同价款支付的约定：</w:t>
      </w:r>
      <w:r>
        <w:rPr>
          <w:color w:val="000000"/>
          <w:position w:val="0"/>
          <w:sz w:val="24"/>
          <w:szCs w:val="24"/>
          <w:u w:val="single"/>
          <w:rFonts w:ascii="仿宋" w:eastAsia="仿宋" w:hAnsi="仿宋" w:hint="default"/>
        </w:rPr>
        <w:t></w:t>
      </w:r>
      <w:r>
        <w:rPr>
          <w:color w:val="000000"/>
          <w:position w:val="0"/>
          <w:sz w:val="24"/>
          <w:szCs w:val="24"/>
          <w:rFonts w:ascii="仿宋" w:eastAsia="仿宋" w:hAnsi="仿宋" w:hint="default"/>
        </w:rPr>
        <w:t>。</w:t>
      </w:r>
      <w:bookmarkEnd w:id="135"/>
      <w:bookmarkEnd w:id="13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3.6 工程照管与成品、半成品保护</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承包人负责照管工程及工程相关的材料、工程设备的起始时间：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3.7 履约担保</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承包人是否提供履约担保：</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承包人提供履约担保的形式、金额及期限的：</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137" w:name="_Toc351203636"/>
      <w:r>
        <w:rPr>
          <w:color w:val="000000"/>
          <w:position w:val="0"/>
          <w:sz w:val="24"/>
          <w:szCs w:val="24"/>
          <w:rFonts w:ascii="仿宋" w:eastAsia="仿宋" w:hAnsi="仿宋" w:hint="default"/>
        </w:rPr>
        <w:t>4</w:t>
      </w:r>
      <w:bookmarkStart w:id="138" w:name="_Toc296346663"/>
      <w:bookmarkStart w:id="139" w:name="_Toc296347161"/>
      <w:bookmarkStart w:id="140" w:name="_Toc296503162"/>
      <w:bookmarkStart w:id="141" w:name="_Toc296890990"/>
      <w:bookmarkStart w:id="142" w:name="_Toc296891202"/>
      <w:bookmarkStart w:id="143" w:name="_Toc296944501"/>
      <w:bookmarkStart w:id="144" w:name="_Toc297048348"/>
      <w:bookmarkStart w:id="145" w:name="_Toc297120462"/>
      <w:bookmarkStart w:id="146" w:name="_Toc292559366"/>
      <w:bookmarkStart w:id="147" w:name="_Toc292559871"/>
      <w:bookmarkStart w:id="148" w:name="_Toc267251413"/>
      <w:r>
        <w:rPr>
          <w:color w:val="000000"/>
          <w:position w:val="0"/>
          <w:sz w:val="24"/>
          <w:szCs w:val="24"/>
          <w:rFonts w:ascii="仿宋" w:eastAsia="仿宋" w:hAnsi="仿宋" w:hint="default"/>
        </w:rPr>
        <w:t xml:space="preserve">. 监</w:t>
      </w:r>
      <w:bookmarkEnd w:id="138"/>
      <w:bookmarkEnd w:id="139"/>
      <w:bookmarkEnd w:id="140"/>
      <w:bookmarkEnd w:id="141"/>
      <w:bookmarkEnd w:id="142"/>
      <w:bookmarkEnd w:id="143"/>
      <w:bookmarkEnd w:id="144"/>
      <w:bookmarkEnd w:id="145"/>
      <w:bookmarkEnd w:id="146"/>
      <w:bookmarkEnd w:id="147"/>
      <w:bookmarkEnd w:id="148"/>
      <w:r>
        <w:rPr>
          <w:color w:val="000000"/>
          <w:position w:val="0"/>
          <w:sz w:val="24"/>
          <w:szCs w:val="24"/>
          <w:rFonts w:ascii="仿宋" w:eastAsia="仿宋" w:hAnsi="仿宋" w:hint="default"/>
        </w:rPr>
        <w:t>理人</w:t>
      </w:r>
      <w:bookmarkEnd w:id="137"/>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4.1监理人的一般规定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关于监理人的监理内容：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关于监理人的监理权限：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关于监理人在施工现场的办公场所、生活场所的提供和费用承担的约定：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4.2 监理人员</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总监理工程师：</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姓    名：</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职    务：</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监理工程师执业资格证书号：</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联系电话：</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电子信箱：</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通信地址：</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关于监理人的其他约定：</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4.4 商定或确定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149" w:name="_Toc267251418"/>
      <w:r>
        <w:rPr>
          <w:color w:val="000000"/>
          <w:position w:val="0"/>
          <w:sz w:val="24"/>
          <w:szCs w:val="24"/>
          <w:rFonts w:ascii="仿宋" w:eastAsia="仿宋" w:hAnsi="仿宋" w:hint="default"/>
        </w:rPr>
        <w:t>在发包人和承包人不能通过协商达成一致意见时，发包人授权监理人对以</w:t>
      </w:r>
      <w:r>
        <w:rPr>
          <w:color w:val="000000"/>
          <w:position w:val="0"/>
          <w:sz w:val="24"/>
          <w:szCs w:val="24"/>
          <w:rFonts w:ascii="仿宋" w:eastAsia="仿宋" w:hAnsi="仿宋" w:hint="default"/>
        </w:rPr>
        <w:t>下事项进行确定：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（1）</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（2）</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（3）</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150" w:name="_Toc351203637"/>
      <w:r>
        <w:rPr>
          <w:color w:val="000000"/>
          <w:position w:val="0"/>
          <w:sz w:val="24"/>
          <w:szCs w:val="24"/>
          <w:rFonts w:ascii="仿宋" w:eastAsia="仿宋" w:hAnsi="仿宋" w:hint="default"/>
        </w:rPr>
        <w:t>5</w:t>
      </w:r>
      <w:bookmarkStart w:id="151" w:name="_Toc296890991"/>
      <w:bookmarkStart w:id="152" w:name="_Toc297048349"/>
      <w:bookmarkStart w:id="153" w:name="_Toc296503163"/>
      <w:bookmarkStart w:id="154" w:name="_Toc292559872"/>
      <w:bookmarkStart w:id="155" w:name="_Toc296347162"/>
      <w:bookmarkStart w:id="156" w:name="_Toc296891203"/>
      <w:bookmarkStart w:id="157" w:name="_Toc296944502"/>
      <w:bookmarkStart w:id="158" w:name="_Toc296346664"/>
      <w:bookmarkStart w:id="159" w:name="_Toc297120463"/>
      <w:bookmarkStart w:id="160" w:name="_Toc292559367"/>
      <w:bookmarkEnd w:id="149"/>
      <w:r>
        <w:rPr>
          <w:color w:val="000000"/>
          <w:position w:val="0"/>
          <w:sz w:val="24"/>
          <w:szCs w:val="24"/>
          <w:rFonts w:ascii="仿宋" w:eastAsia="仿宋" w:hAnsi="仿宋" w:hint="default"/>
        </w:rPr>
        <w:t xml:space="preserve">. 工程质量</w:t>
      </w:r>
      <w:bookmarkEnd w:id="150"/>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5.1 质量要求</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5</w:t>
      </w:r>
      <w:bookmarkStart w:id="161" w:name="_Toc312677997"/>
      <w:bookmarkStart w:id="162" w:name="_Toc318581164"/>
      <w:bookmarkStart w:id="163" w:name="_Toc304295527"/>
      <w:bookmarkStart w:id="164" w:name="_Toc303539106"/>
      <w:bookmarkStart w:id="165" w:name="_Toc300934949"/>
      <w:bookmarkStart w:id="166" w:name="_Toc297123496"/>
      <w:bookmarkStart w:id="167" w:name="_Toc297216155"/>
      <w:r>
        <w:rPr>
          <w:color w:val="auto"/>
          <w:position w:val="0"/>
          <w:sz w:val="24"/>
          <w:szCs w:val="24"/>
          <w:rFonts w:ascii="仿宋" w:eastAsia="仿宋" w:hAnsi="仿宋" w:hint="default"/>
        </w:rPr>
        <w:t xml:space="preserve">.1.1 特殊质量标准和要求：</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u w:val="single"/>
          <w:rFonts w:ascii="仿宋" w:eastAsia="宋体" w:hAnsi="宋体" w:hint="default"/>
        </w:rPr>
        <w:snapToGrid w:val="off"/>
        <w:autoSpaceDE w:val="1"/>
        <w:autoSpaceDN w:val="1"/>
      </w:pPr>
      <w:r>
        <w:rPr>
          <w:color w:val="auto"/>
          <w:position w:val="0"/>
          <w:sz w:val="24"/>
          <w:szCs w:val="24"/>
          <w:rFonts w:ascii="仿宋" w:eastAsia="仿宋" w:hAnsi="仿宋" w:hint="default"/>
        </w:rPr>
        <w:t>关于工程奖项的约定：</w:t>
      </w:r>
      <w:r>
        <w:rPr>
          <w:color w:val="auto"/>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5.3 隐蔽工程检查</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5.3.2承包人提前通知监理人隐蔽工程检查的期限的约定：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监理人不能按时进行检查时，应提前</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小时提交书面延期要求。</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关于延期最长不得超过：</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小时。</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168" w:name="_Toc351203638"/>
      <w:r>
        <w:rPr>
          <w:color w:val="000000"/>
          <w:position w:val="0"/>
          <w:sz w:val="24"/>
          <w:szCs w:val="24"/>
          <w:rFonts w:ascii="仿宋" w:eastAsia="仿宋" w:hAnsi="仿宋" w:hint="default"/>
        </w:rPr>
        <w:t xml:space="preserve">6. 安全文明施工与环境保护</w:t>
      </w:r>
      <w:bookmarkEnd w:id="16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6.1安全文明施工</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6.1.1</w:t>
      </w:r>
      <w:r>
        <w:rPr>
          <w:color w:val="000000"/>
          <w:position w:val="0"/>
          <w:sz w:val="24"/>
          <w:szCs w:val="24"/>
          <w:rFonts w:ascii="仿宋" w:eastAsia="仿宋" w:hAnsi="仿宋" w:hint="default"/>
        </w:rPr>
        <w:t xml:space="preserve"> 项目安全生产的达标目标及相应事项的约定：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6.1.4 关于治安保卫的特别约定：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关于编制施工场地治安管理计划的约定：</w:t>
      </w:r>
      <w:r>
        <w:rPr>
          <w:color w:val="auto"/>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6.1.5 文明施工</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合同当事人对文明施工的要求：</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6.1.6 关于安全文明施工费支付比例和支付期限的约定：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169" w:name="_Toc351203639"/>
      <w:bookmarkEnd w:id="161"/>
      <w:bookmarkEnd w:id="162"/>
      <w:bookmarkEnd w:id="163"/>
      <w:bookmarkEnd w:id="164"/>
      <w:bookmarkEnd w:id="165"/>
      <w:bookmarkEnd w:id="166"/>
      <w:bookmarkEnd w:id="167"/>
      <w:r>
        <w:rPr>
          <w:color w:val="000000"/>
          <w:position w:val="0"/>
          <w:sz w:val="24"/>
          <w:szCs w:val="24"/>
          <w:rFonts w:ascii="仿宋" w:eastAsia="仿宋" w:hAnsi="仿宋" w:hint="default"/>
        </w:rPr>
        <w:t xml:space="preserve">7. 工期和进度</w:t>
      </w:r>
      <w:bookmarkEnd w:id="16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7.1 施工组织设计</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auto"/>
          <w:position w:val="0"/>
          <w:sz w:val="24"/>
          <w:szCs w:val="24"/>
          <w:rFonts w:ascii="仿宋" w:eastAsia="仿宋" w:hAnsi="仿宋" w:hint="default"/>
        </w:rPr>
        <w:t xml:space="preserve">7.1.1 </w:t>
      </w:r>
      <w:r>
        <w:rPr>
          <w:color w:val="000000"/>
          <w:position w:val="0"/>
          <w:sz w:val="24"/>
          <w:szCs w:val="24"/>
          <w:rFonts w:ascii="仿宋" w:eastAsia="仿宋" w:hAnsi="仿宋" w:hint="default"/>
        </w:rPr>
        <w:t>合同当事人约定的施工组织设计应包括的其他内容：</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auto"/>
          <w:position w:val="0"/>
          <w:sz w:val="24"/>
          <w:szCs w:val="24"/>
          <w:rFonts w:ascii="仿宋" w:eastAsia="仿宋" w:hAnsi="仿宋" w:hint="default"/>
        </w:rPr>
        <w:t>7.1.2</w:t>
      </w:r>
      <w:r>
        <w:rPr>
          <w:color w:val="000000"/>
          <w:position w:val="0"/>
          <w:sz w:val="24"/>
          <w:szCs w:val="24"/>
          <w:rFonts w:ascii="仿宋" w:eastAsia="仿宋" w:hAnsi="仿宋" w:hint="default"/>
        </w:rPr>
        <w:t xml:space="preserve"> 施工组织设计的提交和修改</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承包人提交详细施工组织设计的期限的约定：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发包人和监理人在收到详细的施工组织设计后确认或提出修改意见的期限</w:t>
      </w:r>
      <w:r>
        <w:rPr>
          <w:color w:val="000000"/>
          <w:position w:val="0"/>
          <w:sz w:val="24"/>
          <w:szCs w:val="24"/>
          <w:rFonts w:ascii="仿宋" w:eastAsia="仿宋" w:hAnsi="仿宋" w:hint="default"/>
        </w:rPr>
        <w:t>：</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w:t>
      </w:r>
      <w:bookmarkStart w:id="170" w:name="_Toc297123514"/>
      <w:bookmarkStart w:id="171" w:name="_Toc297216173"/>
      <w:bookmarkStart w:id="172" w:name="_Toc303539123"/>
      <w:bookmarkStart w:id="173" w:name="_Toc312677479"/>
      <w:bookmarkStart w:id="174" w:name="_Toc312678005"/>
      <w:bookmarkStart w:id="175" w:name="_Toc304295541"/>
      <w:bookmarkStart w:id="176" w:name="_Toc300934966"/>
      <w:r>
        <w:rPr>
          <w:color w:val="000000"/>
          <w:position w:val="0"/>
          <w:sz w:val="24"/>
          <w:szCs w:val="24"/>
          <w:rFonts w:ascii="仿宋" w:eastAsia="仿宋" w:hAnsi="仿宋" w:hint="default"/>
        </w:rPr>
        <w:t xml:space="preserve">.2 施工进度计划</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7.2.2 施工进度计划的修订</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发包人和监理人在收到修订的施工进度计划后确认或提出修改意见的期限</w:t>
      </w:r>
      <w:r>
        <w:rPr>
          <w:color w:val="000000"/>
          <w:position w:val="0"/>
          <w:sz w:val="24"/>
          <w:szCs w:val="24"/>
          <w:rFonts w:ascii="仿宋" w:eastAsia="仿宋" w:hAnsi="仿宋" w:hint="default"/>
        </w:rPr>
        <w:t>：</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7.3 开工</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7.3.1 开工准备</w:t>
      </w:r>
    </w:p>
    <w:p>
      <w:pPr>
        <w:numPr>
          <w:ilvl w:val="0"/>
          <w:numId w:val="0"/>
        </w:numPr>
        <w:jc w:val="both"/>
        <w:spacing w:lineRule="auto" w:line="360" w:before="0" w:after="0"/>
        <w:ind w:right="0" w:firstLine="480"/>
        <w:rPr>
          <w:color w:val="auto"/>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关于承包人提交工程开工报审表的期限：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关于发包人应完成的其他开工准备工作及期限：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关于承包人应完成的其他开工准备工作及期限：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7.3.2开工通知</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因发包人原因造成监理人未能在计划开工日期之日起</w:t>
      </w:r>
      <w:r>
        <w:rPr>
          <w:color w:val="auto"/>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天内发出开工通</w:t>
      </w:r>
      <w:r>
        <w:rPr>
          <w:color w:val="000000"/>
          <w:position w:val="0"/>
          <w:sz w:val="24"/>
          <w:szCs w:val="24"/>
          <w:rFonts w:ascii="仿宋" w:eastAsia="仿宋" w:hAnsi="仿宋" w:hint="default"/>
        </w:rPr>
        <w:t>知的，承包人有权提出价格调整要求，或者解除合同。</w:t>
      </w:r>
      <w:bookmarkEnd w:id="170"/>
      <w:bookmarkEnd w:id="171"/>
      <w:bookmarkEnd w:id="172"/>
      <w:bookmarkEnd w:id="173"/>
      <w:bookmarkEnd w:id="174"/>
      <w:bookmarkEnd w:id="175"/>
      <w:bookmarkEnd w:id="17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7.4 测量放线</w:t>
      </w:r>
    </w:p>
    <w:p>
      <w:pPr>
        <w:numPr>
          <w:ilvl w:val="0"/>
          <w:numId w:val="0"/>
        </w:numPr>
        <w:jc w:val="both"/>
        <w:spacing w:lineRule="auto" w:line="360" w:before="0" w:after="0"/>
        <w:ind w:right="0" w:firstLine="480"/>
        <w:rPr>
          <w:color w:val="auto"/>
          <w:position w:val="0"/>
          <w:sz w:val="24"/>
          <w:szCs w:val="24"/>
          <w:u w:val="single"/>
          <w:rFonts w:ascii="仿宋" w:eastAsia="宋体" w:hAnsi="宋体" w:hint="default"/>
        </w:rPr>
        <w:snapToGrid w:val="off"/>
        <w:autoSpaceDE w:val="1"/>
        <w:autoSpaceDN w:val="1"/>
      </w:pPr>
      <w:r>
        <w:rPr>
          <w:color w:val="auto"/>
          <w:position w:val="0"/>
          <w:sz w:val="24"/>
          <w:szCs w:val="24"/>
          <w:rFonts w:ascii="仿宋" w:eastAsia="仿宋" w:hAnsi="仿宋" w:hint="default"/>
        </w:rPr>
        <w:t>7.4.1发包人通过监理人向承包人提供测量基准点、基准线和水准点及其书</w:t>
      </w:r>
      <w:r>
        <w:rPr>
          <w:color w:val="auto"/>
          <w:position w:val="0"/>
          <w:sz w:val="24"/>
          <w:szCs w:val="24"/>
          <w:rFonts w:ascii="仿宋" w:eastAsia="仿宋" w:hAnsi="仿宋" w:hint="default"/>
        </w:rPr>
        <w:t>面资料的期限：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w:t>
      </w:r>
      <w:bookmarkStart w:id="177" w:name="_Toc312678010"/>
      <w:bookmarkStart w:id="178" w:name="_Toc297123516"/>
      <w:bookmarkStart w:id="179" w:name="_Toc297216175"/>
      <w:bookmarkStart w:id="180" w:name="_Toc300934968"/>
      <w:bookmarkStart w:id="181" w:name="_Toc303539125"/>
      <w:bookmarkStart w:id="182" w:name="_Toc304295546"/>
      <w:bookmarkStart w:id="183" w:name="_Toc312677484"/>
      <w:r>
        <w:rPr>
          <w:color w:val="000000"/>
          <w:position w:val="0"/>
          <w:sz w:val="24"/>
          <w:szCs w:val="24"/>
          <w:rFonts w:ascii="仿宋" w:eastAsia="仿宋" w:hAnsi="仿宋" w:hint="default"/>
        </w:rPr>
        <w:t xml:space="preserve">.5 工期延误</w:t>
      </w:r>
      <w:bookmarkEnd w:id="177"/>
      <w:bookmarkEnd w:id="178"/>
      <w:bookmarkEnd w:id="179"/>
      <w:bookmarkEnd w:id="180"/>
      <w:bookmarkEnd w:id="181"/>
      <w:bookmarkEnd w:id="182"/>
      <w:bookmarkEnd w:id="183"/>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7.5.1 因发包人原因导致工期延误</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（7）因发包人原因导致工期延误的其他情形：</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7</w:t>
      </w:r>
      <w:bookmarkStart w:id="184" w:name="_Toc312678012"/>
      <w:bookmarkStart w:id="185" w:name="_Toc318581169"/>
      <w:bookmarkStart w:id="186" w:name="_Toc312677486"/>
      <w:bookmarkStart w:id="187" w:name="_Toc297123518"/>
      <w:bookmarkStart w:id="188" w:name="_Toc297216177"/>
      <w:bookmarkStart w:id="189" w:name="_Toc300934970"/>
      <w:bookmarkStart w:id="190" w:name="_Toc303539127"/>
      <w:bookmarkStart w:id="191" w:name="_Toc304295548"/>
      <w:r>
        <w:rPr>
          <w:color w:val="auto"/>
          <w:position w:val="0"/>
          <w:sz w:val="24"/>
          <w:szCs w:val="24"/>
          <w:rFonts w:ascii="仿宋" w:eastAsia="仿宋" w:hAnsi="仿宋" w:hint="default"/>
        </w:rPr>
        <w:t xml:space="preserve">.5.2 因承包人原因导致工期延误</w:t>
      </w:r>
      <w:bookmarkEnd w:id="184"/>
      <w:bookmarkEnd w:id="185"/>
      <w:bookmarkEnd w:id="186"/>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因</w:t>
      </w:r>
      <w:bookmarkStart w:id="192" w:name="_Toc312677487"/>
      <w:bookmarkStart w:id="193" w:name="_Toc312678013"/>
      <w:bookmarkStart w:id="194" w:name="_Toc318581170"/>
      <w:r>
        <w:rPr>
          <w:color w:val="auto"/>
          <w:position w:val="0"/>
          <w:sz w:val="24"/>
          <w:szCs w:val="24"/>
          <w:rFonts w:ascii="仿宋" w:eastAsia="仿宋" w:hAnsi="仿宋" w:hint="default"/>
        </w:rPr>
        <w:t>承包人原因造成工期延误，逾期竣工违约金的计算方法为：</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bookmarkEnd w:id="187"/>
      <w:bookmarkEnd w:id="188"/>
      <w:bookmarkEnd w:id="189"/>
      <w:bookmarkEnd w:id="190"/>
      <w:bookmarkEnd w:id="191"/>
      <w:bookmarkEnd w:id="192"/>
      <w:bookmarkEnd w:id="193"/>
      <w:bookmarkEnd w:id="194"/>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因承包人原因造成工期延误，逾</w:t>
      </w:r>
      <w:bookmarkStart w:id="195" w:name="_Toc312678014"/>
      <w:bookmarkStart w:id="196" w:name="_Toc318581171"/>
      <w:r>
        <w:rPr>
          <w:color w:val="auto"/>
          <w:position w:val="0"/>
          <w:sz w:val="24"/>
          <w:szCs w:val="24"/>
          <w:rFonts w:ascii="仿宋" w:eastAsia="仿宋" w:hAnsi="仿宋" w:hint="default"/>
        </w:rPr>
        <w:t>期竣工违约金的上限：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bookmarkEnd w:id="195"/>
      <w:bookmarkEnd w:id="19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w:t>
      </w:r>
      <w:bookmarkStart w:id="197" w:name="_Toc304295549"/>
      <w:bookmarkStart w:id="198" w:name="_Toc300934971"/>
      <w:bookmarkStart w:id="199" w:name="_Toc312678015"/>
      <w:bookmarkStart w:id="200" w:name="_Toc297123519"/>
      <w:bookmarkStart w:id="201" w:name="_Toc297216178"/>
      <w:bookmarkStart w:id="202" w:name="_Toc303539128"/>
      <w:r>
        <w:rPr>
          <w:color w:val="000000"/>
          <w:position w:val="0"/>
          <w:sz w:val="24"/>
          <w:szCs w:val="24"/>
          <w:rFonts w:ascii="仿宋" w:eastAsia="仿宋" w:hAnsi="仿宋" w:hint="default"/>
        </w:rPr>
        <w:t xml:space="preserve">.6 不</w:t>
      </w:r>
      <w:bookmarkEnd w:id="197"/>
      <w:bookmarkEnd w:id="198"/>
      <w:bookmarkEnd w:id="199"/>
      <w:bookmarkEnd w:id="200"/>
      <w:bookmarkEnd w:id="201"/>
      <w:bookmarkEnd w:id="202"/>
      <w:r>
        <w:rPr>
          <w:color w:val="000000"/>
          <w:position w:val="0"/>
          <w:sz w:val="24"/>
          <w:szCs w:val="24"/>
          <w:rFonts w:ascii="仿宋" w:eastAsia="仿宋" w:hAnsi="仿宋" w:hint="default"/>
        </w:rPr>
        <w:t>利物质条件</w:t>
      </w:r>
    </w:p>
    <w:p>
      <w:pPr>
        <w:numPr>
          <w:ilvl w:val="0"/>
          <w:numId w:val="0"/>
        </w:numPr>
        <w:jc w:val="both"/>
        <w:spacing w:lineRule="auto" w:line="360" w:before="0" w:after="0"/>
        <w:ind w:right="0" w:firstLine="480"/>
        <w:rPr>
          <w:color w:val="auto"/>
          <w:position w:val="0"/>
          <w:sz w:val="24"/>
          <w:szCs w:val="24"/>
          <w:u w:val="single"/>
          <w:rFonts w:ascii="仿宋" w:eastAsia="宋体" w:hAnsi="宋体" w:hint="default"/>
        </w:rPr>
        <w:snapToGrid w:val="off"/>
        <w:autoSpaceDE w:val="1"/>
        <w:autoSpaceDN w:val="1"/>
      </w:pPr>
      <w:bookmarkStart w:id="203" w:name="_Toc318581172"/>
      <w:bookmarkStart w:id="204" w:name="_Toc304295550"/>
      <w:bookmarkStart w:id="205" w:name="_Toc300934972"/>
      <w:bookmarkStart w:id="206" w:name="_Toc303539129"/>
      <w:bookmarkStart w:id="207" w:name="_Toc312678016"/>
      <w:bookmarkStart w:id="208" w:name="_Toc297123520"/>
      <w:bookmarkStart w:id="209" w:name="_Toc297216179"/>
      <w:r>
        <w:rPr>
          <w:color w:val="auto"/>
          <w:position w:val="0"/>
          <w:sz w:val="24"/>
          <w:szCs w:val="24"/>
          <w:rFonts w:ascii="仿宋" w:eastAsia="仿宋" w:hAnsi="仿宋" w:hint="default"/>
        </w:rPr>
        <w:t>不利物质条件的其他情形和有关约定：</w:t>
      </w:r>
      <w:r>
        <w:rPr>
          <w:color w:val="auto"/>
          <w:position w:val="0"/>
          <w:sz w:val="24"/>
          <w:szCs w:val="24"/>
          <w:u w:val="single"/>
          <w:rFonts w:ascii="仿宋" w:eastAsia="仿宋" w:hAnsi="仿宋" w:hint="default"/>
        </w:rPr>
        <w:t xml:space="preserve">           </w:t>
      </w:r>
      <w:bookmarkEnd w:id="203"/>
      <w:bookmarkEnd w:id="204"/>
      <w:bookmarkEnd w:id="205"/>
      <w:bookmarkEnd w:id="206"/>
      <w:bookmarkEnd w:id="207"/>
      <w:bookmarkEnd w:id="208"/>
      <w:bookmarkEnd w:id="20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w:t>
      </w:r>
      <w:bookmarkStart w:id="210" w:name="_Toc303539130"/>
      <w:bookmarkStart w:id="211" w:name="_Toc312678017"/>
      <w:bookmarkStart w:id="212" w:name="_Toc297216180"/>
      <w:bookmarkStart w:id="213" w:name="_Toc300934973"/>
      <w:bookmarkStart w:id="214" w:name="_Toc304295551"/>
      <w:bookmarkStart w:id="215" w:name="_Toc297123521"/>
      <w:r>
        <w:rPr>
          <w:color w:val="000000"/>
          <w:position w:val="0"/>
          <w:sz w:val="24"/>
          <w:szCs w:val="24"/>
          <w:rFonts w:ascii="仿宋" w:eastAsia="仿宋" w:hAnsi="仿宋" w:hint="default"/>
        </w:rPr>
        <w:t>.7异常恶劣的气候条件</w:t>
      </w:r>
      <w:bookmarkEnd w:id="210"/>
      <w:bookmarkEnd w:id="211"/>
      <w:bookmarkEnd w:id="212"/>
      <w:bookmarkEnd w:id="213"/>
      <w:bookmarkEnd w:id="214"/>
      <w:bookmarkEnd w:id="215"/>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发包人和承包人同意以下情形视为异常恶劣的气候条件：</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（2）</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（3）</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7.9 提前竣工的奖励</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7.9.2提前竣工的奖励：</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216" w:name="_Toc351203640"/>
      <w:r>
        <w:rPr>
          <w:color w:val="000000"/>
          <w:position w:val="0"/>
          <w:sz w:val="24"/>
          <w:szCs w:val="24"/>
          <w:rFonts w:ascii="仿宋" w:eastAsia="仿宋" w:hAnsi="仿宋" w:hint="default"/>
        </w:rPr>
        <w:t xml:space="preserve">8. 材料与设备</w:t>
      </w:r>
      <w:bookmarkEnd w:id="216"/>
      <w:bookmarkEnd w:id="151"/>
      <w:bookmarkEnd w:id="152"/>
      <w:bookmarkEnd w:id="153"/>
      <w:bookmarkEnd w:id="154"/>
      <w:bookmarkEnd w:id="155"/>
      <w:bookmarkEnd w:id="156"/>
      <w:bookmarkEnd w:id="157"/>
      <w:bookmarkEnd w:id="158"/>
      <w:bookmarkEnd w:id="159"/>
      <w:bookmarkEnd w:id="160"/>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8</w:t>
      </w:r>
      <w:bookmarkStart w:id="217" w:name="_Toc280868654"/>
      <w:bookmarkStart w:id="218" w:name="_Toc292559372"/>
      <w:bookmarkStart w:id="219" w:name="_Toc292559877"/>
      <w:bookmarkStart w:id="220" w:name="_Toc296346668"/>
      <w:bookmarkStart w:id="221" w:name="_Toc296347166"/>
      <w:bookmarkStart w:id="222" w:name="_Toc296503167"/>
      <w:bookmarkStart w:id="223" w:name="_Toc296890995"/>
      <w:bookmarkStart w:id="224" w:name="_Toc296891207"/>
      <w:bookmarkStart w:id="225" w:name="_Toc296944506"/>
      <w:bookmarkStart w:id="226" w:name="_Toc297048353"/>
      <w:bookmarkStart w:id="227" w:name="_Toc297120467"/>
      <w:bookmarkStart w:id="228" w:name="_Toc297123527"/>
      <w:bookmarkStart w:id="229" w:name="_Toc297216186"/>
      <w:bookmarkStart w:id="230" w:name="_Toc300934979"/>
      <w:bookmarkStart w:id="231" w:name="_Toc303539136"/>
      <w:bookmarkStart w:id="232" w:name="_Toc304295556"/>
      <w:bookmarkStart w:id="233" w:name="_Toc312677493"/>
      <w:bookmarkStart w:id="234" w:name="_Toc312678019"/>
      <w:bookmarkStart w:id="235" w:name="_Toc280868656"/>
      <w:bookmarkStart w:id="236" w:name="_Toc267251424"/>
      <w:bookmarkStart w:id="237" w:name="_Toc280868655"/>
      <w:r>
        <w:rPr>
          <w:color w:val="000000"/>
          <w:position w:val="0"/>
          <w:sz w:val="24"/>
          <w:szCs w:val="24"/>
          <w:rFonts w:ascii="仿宋" w:eastAsia="仿宋" w:hAnsi="仿宋" w:hint="default"/>
        </w:rPr>
        <w:t>.4材料与工程设备的保管与使用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8</w:t>
      </w:r>
      <w:bookmarkStart w:id="238" w:name="_Toc292559373"/>
      <w:bookmarkStart w:id="239" w:name="_Toc292559878"/>
      <w:bookmarkStart w:id="240" w:name="_Toc304295557"/>
      <w:bookmarkStart w:id="241" w:name="_Toc303539137"/>
      <w:bookmarkStart w:id="242" w:name="_Toc312677494"/>
      <w:bookmarkStart w:id="243" w:name="_Toc312678020"/>
      <w:bookmarkStart w:id="244" w:name="_Toc318581173"/>
      <w:bookmarkStart w:id="245" w:name="_Toc296346669"/>
      <w:bookmarkStart w:id="246" w:name="_Toc296347167"/>
      <w:bookmarkStart w:id="247" w:name="_Toc296503168"/>
      <w:bookmarkStart w:id="248" w:name="_Toc296890996"/>
      <w:bookmarkStart w:id="249" w:name="_Toc296891208"/>
      <w:bookmarkStart w:id="250" w:name="_Toc297048354"/>
      <w:bookmarkStart w:id="251" w:name="_Toc296944507"/>
      <w:bookmarkStart w:id="252" w:name="_Toc297123528"/>
      <w:bookmarkStart w:id="253" w:name="_Toc297120468"/>
      <w:bookmarkStart w:id="254" w:name="_Toc300934980"/>
      <w:bookmarkStart w:id="255" w:name="_Toc297216187"/>
      <w:r>
        <w:rPr>
          <w:color w:val="auto"/>
          <w:position w:val="0"/>
          <w:sz w:val="24"/>
          <w:szCs w:val="24"/>
          <w:rFonts w:ascii="仿宋" w:eastAsia="仿宋" w:hAnsi="仿宋" w:hint="default"/>
        </w:rPr>
        <w:t>.4.1发包人供应的材料设备的保管费用的承担：</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bookmarkEnd w:id="238"/>
      <w:bookmarkEnd w:id="23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8.6 样品</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8.6.1</w:t>
      </w:r>
      <w:r>
        <w:rPr>
          <w:color w:val="000000"/>
          <w:position w:val="0"/>
          <w:sz w:val="24"/>
          <w:szCs w:val="24"/>
          <w:rFonts w:ascii="仿宋" w:eastAsia="仿宋" w:hAnsi="仿宋" w:hint="default"/>
        </w:rPr>
        <w:tab/>
      </w:r>
      <w:r>
        <w:rPr>
          <w:color w:val="000000"/>
          <w:position w:val="0"/>
          <w:sz w:val="24"/>
          <w:szCs w:val="24"/>
          <w:rFonts w:ascii="仿宋" w:eastAsia="仿宋" w:hAnsi="仿宋" w:hint="default"/>
        </w:rPr>
        <w:t>样品的报送与封存</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需要承包人报送样品的材料或工程设备，样品的种类、名称、规格、数量</w:t>
      </w:r>
      <w:r>
        <w:rPr>
          <w:color w:val="000000"/>
          <w:position w:val="0"/>
          <w:sz w:val="24"/>
          <w:szCs w:val="24"/>
          <w:rFonts w:ascii="仿宋" w:eastAsia="仿宋" w:hAnsi="仿宋" w:hint="default"/>
        </w:rPr>
        <w:t>要求：</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8.8 施工设备和临时设施</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0"/>
        <w:autoSpaceDN w:val="0"/>
      </w:pPr>
      <w:r>
        <w:rPr>
          <w:color w:val="auto"/>
          <w:position w:val="0"/>
          <w:sz w:val="24"/>
          <w:szCs w:val="24"/>
          <w:rFonts w:ascii="仿宋" w:eastAsia="仿宋" w:hAnsi="仿宋" w:hint="default"/>
        </w:rPr>
        <w:t xml:space="preserve">8.8.1 承包人提供的施工设备和临时设施</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0"/>
        <w:autoSpaceDN w:val="0"/>
      </w:pPr>
      <w:r>
        <w:rPr>
          <w:color w:val="auto"/>
          <w:position w:val="0"/>
          <w:sz w:val="24"/>
          <w:szCs w:val="24"/>
          <w:rFonts w:ascii="仿宋" w:eastAsia="仿宋" w:hAnsi="仿宋" w:hint="default"/>
        </w:rPr>
        <w:t>关于修建临时设施费用承担的约定：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256" w:name="_Toc35120364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color w:val="000000"/>
          <w:position w:val="0"/>
          <w:sz w:val="24"/>
          <w:szCs w:val="24"/>
          <w:rFonts w:ascii="仿宋" w:eastAsia="仿宋" w:hAnsi="仿宋" w:hint="default"/>
        </w:rPr>
        <w:t>9</w:t>
      </w:r>
      <w:bookmarkStart w:id="257" w:name="_Toc297123533"/>
      <w:bookmarkStart w:id="258" w:name="_Toc297216192"/>
      <w:bookmarkStart w:id="259" w:name="_Toc300934982"/>
      <w:bookmarkStart w:id="260" w:name="_Toc303539139"/>
      <w:bookmarkStart w:id="261" w:name="_Toc304295559"/>
      <w:bookmarkStart w:id="262" w:name="_Toc312677495"/>
      <w:bookmarkStart w:id="263" w:name="_Toc312678021"/>
      <w:bookmarkStart w:id="264" w:name="_Toc297048359"/>
      <w:bookmarkStart w:id="265" w:name="_Toc296944512"/>
      <w:bookmarkStart w:id="266" w:name="_Toc296891213"/>
      <w:bookmarkStart w:id="267" w:name="_Toc267251427"/>
      <w:bookmarkStart w:id="268" w:name="_Toc292559883"/>
      <w:bookmarkStart w:id="269" w:name="_Toc296503173"/>
      <w:bookmarkStart w:id="270" w:name="_Toc296346674"/>
      <w:bookmarkStart w:id="271" w:name="_Toc267251428"/>
      <w:bookmarkStart w:id="272" w:name="_Toc292559378"/>
      <w:bookmarkStart w:id="273" w:name="_Toc296347172"/>
      <w:bookmarkStart w:id="274" w:name="_Toc296891001"/>
      <w:bookmarkStart w:id="275" w:name="_Toc297120473"/>
      <w:bookmarkEnd w:id="235"/>
      <w:bookmarkEnd w:id="236"/>
      <w:bookmarkEnd w:id="237"/>
      <w:r>
        <w:rPr>
          <w:color w:val="000000"/>
          <w:position w:val="0"/>
          <w:sz w:val="24"/>
          <w:szCs w:val="24"/>
          <w:rFonts w:ascii="仿宋" w:eastAsia="仿宋" w:hAnsi="仿宋" w:hint="default"/>
        </w:rPr>
        <w:t xml:space="preserve">. 试验与检验</w:t>
      </w:r>
      <w:bookmarkEnd w:id="256"/>
      <w:bookmarkEnd w:id="257"/>
      <w:bookmarkEnd w:id="258"/>
      <w:bookmarkEnd w:id="259"/>
      <w:bookmarkEnd w:id="260"/>
      <w:bookmarkEnd w:id="261"/>
      <w:bookmarkEnd w:id="262"/>
      <w:bookmarkEnd w:id="263"/>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9</w:t>
      </w:r>
      <w:bookmarkStart w:id="276" w:name="_Toc300934983"/>
      <w:bookmarkStart w:id="277" w:name="_Toc297216193"/>
      <w:bookmarkStart w:id="278" w:name="_Toc303539140"/>
      <w:bookmarkStart w:id="279" w:name="_Toc297123534"/>
      <w:bookmarkStart w:id="280" w:name="_Toc312677496"/>
      <w:bookmarkStart w:id="281" w:name="_Toc304295560"/>
      <w:bookmarkStart w:id="282" w:name="_Toc312678022"/>
      <w:r>
        <w:rPr>
          <w:color w:val="000000"/>
          <w:position w:val="0"/>
          <w:sz w:val="24"/>
          <w:szCs w:val="24"/>
          <w:rFonts w:ascii="仿宋" w:eastAsia="仿宋" w:hAnsi="仿宋" w:hint="default"/>
        </w:rPr>
        <w:t>.1试验设备与试验人员</w:t>
      </w:r>
      <w:bookmarkEnd w:id="276"/>
      <w:bookmarkEnd w:id="277"/>
      <w:bookmarkEnd w:id="278"/>
      <w:bookmarkEnd w:id="279"/>
      <w:bookmarkEnd w:id="280"/>
      <w:bookmarkEnd w:id="281"/>
      <w:bookmarkEnd w:id="282"/>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9</w:t>
      </w:r>
      <w:bookmarkStart w:id="283" w:name="_Toc304295561"/>
      <w:bookmarkStart w:id="284" w:name="_Toc312678023"/>
      <w:bookmarkStart w:id="285" w:name="_Toc312677497"/>
      <w:bookmarkStart w:id="286" w:name="_Toc297123535"/>
      <w:bookmarkStart w:id="287" w:name="_Toc300934984"/>
      <w:bookmarkStart w:id="288" w:name="_Toc297216194"/>
      <w:bookmarkStart w:id="289" w:name="_Toc303539141"/>
      <w:bookmarkStart w:id="290" w:name="_Toc318581174"/>
      <w:r>
        <w:rPr>
          <w:color w:val="auto"/>
          <w:position w:val="0"/>
          <w:sz w:val="24"/>
          <w:szCs w:val="24"/>
          <w:rFonts w:ascii="仿宋" w:eastAsia="仿宋" w:hAnsi="仿宋" w:hint="default"/>
        </w:rPr>
        <w:t xml:space="preserve">.1.2 试验设备</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施工现场需要配置的试验场所：</w:t>
      </w:r>
      <w:bookmarkStart w:id="291" w:name="_Toc297216195"/>
      <w:bookmarkStart w:id="292" w:name="_Toc303539142"/>
      <w:bookmarkStart w:id="293" w:name="_Toc312678024"/>
      <w:bookmarkStart w:id="294" w:name="_Toc300934985"/>
      <w:bookmarkStart w:id="295" w:name="_Toc297123536"/>
      <w:bookmarkStart w:id="296" w:name="_Toc312677498"/>
      <w:bookmarkStart w:id="297" w:name="_Toc304295562"/>
      <w:bookmarkEnd w:id="283"/>
      <w:bookmarkEnd w:id="284"/>
      <w:bookmarkEnd w:id="285"/>
      <w:bookmarkEnd w:id="286"/>
      <w:bookmarkEnd w:id="287"/>
      <w:bookmarkEnd w:id="288"/>
      <w:bookmarkEnd w:id="289"/>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施工现场需要配备的试验设备：</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施工现场需要具备的其他试验条件：</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9.4 现场工艺试验 </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现场工艺试验的有关约定：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298" w:name="_Toc351203642"/>
      <w:bookmarkEnd w:id="290"/>
      <w:bookmarkEnd w:id="291"/>
      <w:bookmarkEnd w:id="292"/>
      <w:bookmarkEnd w:id="293"/>
      <w:bookmarkEnd w:id="294"/>
      <w:bookmarkEnd w:id="295"/>
      <w:bookmarkEnd w:id="296"/>
      <w:bookmarkEnd w:id="297"/>
      <w:r>
        <w:rPr>
          <w:color w:val="000000"/>
          <w:position w:val="0"/>
          <w:sz w:val="24"/>
          <w:szCs w:val="24"/>
          <w:rFonts w:ascii="仿宋" w:eastAsia="仿宋" w:hAnsi="仿宋" w:hint="default"/>
        </w:rPr>
        <w:t>1</w:t>
      </w:r>
      <w:bookmarkStart w:id="299" w:name="_Toc292559398"/>
      <w:bookmarkStart w:id="300" w:name="_Toc292559903"/>
      <w:bookmarkStart w:id="301" w:name="_Toc296346694"/>
      <w:bookmarkStart w:id="302" w:name="_Toc296347192"/>
      <w:bookmarkStart w:id="303" w:name="_Toc296503193"/>
      <w:bookmarkStart w:id="304" w:name="_Toc296891021"/>
      <w:bookmarkStart w:id="305" w:name="_Toc296891233"/>
      <w:bookmarkStart w:id="306" w:name="_Toc296944532"/>
      <w:bookmarkStart w:id="307" w:name="_Toc297048379"/>
      <w:bookmarkStart w:id="308" w:name="_Toc297120493"/>
      <w:bookmarkStart w:id="309" w:name="_Toc297123540"/>
      <w:bookmarkStart w:id="310" w:name="_Toc297216199"/>
      <w:bookmarkStart w:id="311" w:name="_Toc300934989"/>
      <w:bookmarkStart w:id="312" w:name="_Toc303539146"/>
      <w:bookmarkStart w:id="313" w:name="_Toc304295566"/>
      <w:bookmarkStart w:id="314" w:name="_Toc312677499"/>
      <w:bookmarkStart w:id="315" w:name="_Toc312678025"/>
      <w:bookmarkStart w:id="316" w:name="_Toc267251433"/>
      <w:bookmarkStart w:id="317" w:name="_Toc267251435"/>
      <w:bookmarkStart w:id="318" w:name="_Toc267251437"/>
      <w:bookmarkStart w:id="319" w:name="_Toc267251439"/>
      <w:bookmarkStart w:id="320" w:name="_Toc267251440"/>
      <w:bookmarkStart w:id="321" w:name="_Toc267251441"/>
      <w:bookmarkStart w:id="322" w:name="_Toc267251442"/>
      <w:bookmarkEnd w:id="264"/>
      <w:bookmarkEnd w:id="265"/>
      <w:bookmarkEnd w:id="266"/>
      <w:bookmarkEnd w:id="267"/>
      <w:bookmarkEnd w:id="268"/>
      <w:bookmarkEnd w:id="269"/>
      <w:bookmarkEnd w:id="270"/>
      <w:bookmarkEnd w:id="271"/>
      <w:bookmarkEnd w:id="272"/>
      <w:bookmarkEnd w:id="273"/>
      <w:bookmarkEnd w:id="274"/>
      <w:bookmarkEnd w:id="275"/>
      <w:r>
        <w:rPr>
          <w:color w:val="000000"/>
          <w:position w:val="0"/>
          <w:sz w:val="24"/>
          <w:szCs w:val="24"/>
          <w:rFonts w:ascii="仿宋" w:eastAsia="仿宋" w:hAnsi="仿宋" w:hint="default"/>
        </w:rPr>
        <w:t xml:space="preserve">0. 变更</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w:t>
      </w:r>
      <w:bookmarkStart w:id="323" w:name="_Toc297120494"/>
      <w:bookmarkStart w:id="324" w:name="_Toc297216200"/>
      <w:bookmarkStart w:id="325" w:name="_Toc296891234"/>
      <w:bookmarkStart w:id="326" w:name="_Toc303539147"/>
      <w:bookmarkStart w:id="327" w:name="_Toc304295567"/>
      <w:bookmarkStart w:id="328" w:name="_Toc312677500"/>
      <w:bookmarkStart w:id="329" w:name="_Toc296347193"/>
      <w:bookmarkStart w:id="330" w:name="_Toc312678026"/>
      <w:bookmarkStart w:id="331" w:name="_Toc297048380"/>
      <w:bookmarkStart w:id="332" w:name="_Toc292559399"/>
      <w:bookmarkStart w:id="333" w:name="_Toc300934990"/>
      <w:bookmarkStart w:id="334" w:name="_Toc296346695"/>
      <w:bookmarkStart w:id="335" w:name="_Toc296503194"/>
      <w:bookmarkStart w:id="336" w:name="_Toc296891022"/>
      <w:bookmarkStart w:id="337" w:name="_Toc297123541"/>
      <w:bookmarkStart w:id="338" w:name="_Toc296944533"/>
      <w:bookmarkStart w:id="339" w:name="_Toc292559904"/>
      <w:r>
        <w:rPr>
          <w:color w:val="000000"/>
          <w:position w:val="0"/>
          <w:sz w:val="24"/>
          <w:szCs w:val="24"/>
          <w:rFonts w:ascii="仿宋" w:eastAsia="仿宋" w:hAnsi="仿宋" w:hint="default"/>
        </w:rPr>
        <w:t>0.1变更的范围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关于变更的范围的约定：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10.4 变更估价</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10.4.1 变更估价原则</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关于变更估价的约定: </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w:t>
      </w:r>
      <w:bookmarkStart w:id="340" w:name="_Toc297123544"/>
      <w:bookmarkStart w:id="341" w:name="_Toc303539150"/>
      <w:bookmarkStart w:id="342" w:name="_Toc297120497"/>
      <w:bookmarkStart w:id="343" w:name="_Toc297216203"/>
      <w:bookmarkStart w:id="344" w:name="_Toc296503197"/>
      <w:bookmarkStart w:id="345" w:name="_Toc296891025"/>
      <w:bookmarkStart w:id="346" w:name="_Toc292559402"/>
      <w:bookmarkStart w:id="347" w:name="_Toc296347196"/>
      <w:bookmarkStart w:id="348" w:name="_Toc296891237"/>
      <w:bookmarkStart w:id="349" w:name="_Toc292559907"/>
      <w:bookmarkStart w:id="350" w:name="_Toc300934993"/>
      <w:bookmarkStart w:id="351" w:name="_Toc296944536"/>
      <w:bookmarkStart w:id="352" w:name="_Toc297048383"/>
      <w:bookmarkStart w:id="353" w:name="_Toc296346698"/>
      <w:bookmarkStart w:id="354" w:name="_Toc304295570"/>
      <w:bookmarkStart w:id="355" w:name="_Toc312678029"/>
      <w:bookmarkStart w:id="356" w:name="_Toc312677503"/>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color w:val="000000"/>
          <w:position w:val="0"/>
          <w:sz w:val="24"/>
          <w:szCs w:val="24"/>
          <w:rFonts w:ascii="仿宋" w:eastAsia="仿宋" w:hAnsi="仿宋" w:hint="default"/>
        </w:rPr>
        <w:t>0.5承</w:t>
      </w:r>
      <w:bookmarkStart w:id="357" w:name="_Toc296503203"/>
      <w:bookmarkStart w:id="358" w:name="_Toc297120503"/>
      <w:bookmarkStart w:id="359" w:name="_Toc296347202"/>
      <w:bookmarkStart w:id="360" w:name="_Toc296891031"/>
      <w:bookmarkStart w:id="361" w:name="_Toc292559408"/>
      <w:bookmarkStart w:id="362" w:name="_Toc297048389"/>
      <w:bookmarkStart w:id="363" w:name="_Toc296891243"/>
      <w:bookmarkStart w:id="364" w:name="_Toc292559913"/>
      <w:bookmarkStart w:id="365" w:name="_Toc297123545"/>
      <w:bookmarkStart w:id="366" w:name="_Toc297216204"/>
      <w:bookmarkStart w:id="367" w:name="_Toc296944542"/>
      <w:bookmarkStart w:id="368" w:name="_Toc296346704"/>
      <w:bookmarkStart w:id="369" w:name="_Toc303539151"/>
      <w:bookmarkStart w:id="370" w:name="_Toc30093499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color w:val="000000"/>
          <w:position w:val="0"/>
          <w:sz w:val="24"/>
          <w:szCs w:val="24"/>
          <w:rFonts w:ascii="仿宋" w:eastAsia="仿宋" w:hAnsi="仿宋" w:hint="default"/>
        </w:rPr>
        <w:t>包人的合理化建议</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监理人审查承包人合理化建议的期限：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发包人审批承包人合理化建议的期限：</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u w:val="single"/>
          <w:rFonts w:ascii="仿宋" w:eastAsia="宋体" w:hAnsi="宋体" w:hint="default"/>
        </w:rPr>
        <w:snapToGrid w:val="off"/>
        <w:autoSpaceDE w:val="1"/>
        <w:autoSpaceDN w:val="1"/>
      </w:pPr>
      <w:r>
        <w:rPr>
          <w:color w:val="auto"/>
          <w:position w:val="0"/>
          <w:sz w:val="24"/>
          <w:szCs w:val="24"/>
          <w:rFonts w:ascii="仿宋" w:eastAsia="仿宋" w:hAnsi="仿宋" w:hint="default"/>
        </w:rPr>
        <w:t>承</w:t>
      </w:r>
      <w:bookmarkStart w:id="371" w:name="_Toc296346705"/>
      <w:bookmarkStart w:id="372" w:name="_Toc296347203"/>
      <w:bookmarkStart w:id="373" w:name="_Toc296503204"/>
      <w:bookmarkStart w:id="374" w:name="_Toc296891032"/>
      <w:bookmarkStart w:id="375" w:name="_Toc297123546"/>
      <w:bookmarkStart w:id="376" w:name="_Toc297216205"/>
      <w:bookmarkStart w:id="377" w:name="_Toc300934995"/>
      <w:bookmarkStart w:id="378" w:name="_Toc303539152"/>
      <w:bookmarkStart w:id="379" w:name="_Toc312677504"/>
      <w:bookmarkStart w:id="380" w:name="_Toc312678030"/>
      <w:bookmarkStart w:id="381" w:name="_Toc296891244"/>
      <w:bookmarkStart w:id="382" w:name="_Toc296944543"/>
      <w:bookmarkStart w:id="383" w:name="_Toc304295571"/>
      <w:bookmarkStart w:id="384" w:name="_Toc297048390"/>
      <w:bookmarkStart w:id="385" w:name="_Toc297120504"/>
      <w:bookmarkStart w:id="386" w:name="_Toc318581175"/>
      <w:bookmarkStart w:id="387" w:name="_Toc292559409"/>
      <w:bookmarkStart w:id="388" w:name="_Toc292559914"/>
      <w:r>
        <w:rPr>
          <w:color w:val="auto"/>
          <w:position w:val="0"/>
          <w:sz w:val="24"/>
          <w:szCs w:val="24"/>
          <w:rFonts w:ascii="仿宋" w:eastAsia="仿宋" w:hAnsi="仿宋" w:hint="default"/>
        </w:rPr>
        <w:t>包人提出的合理化建议降低了合同价格或者提高了工程经济效益的奖励</w:t>
      </w:r>
      <w:r>
        <w:rPr>
          <w:color w:val="auto"/>
          <w:position w:val="0"/>
          <w:sz w:val="24"/>
          <w:szCs w:val="24"/>
          <w:rFonts w:ascii="仿宋" w:eastAsia="仿宋" w:hAnsi="仿宋" w:hint="default"/>
        </w:rPr>
        <w:t>的方法和金额为：</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w:t>
      </w:r>
      <w:bookmarkStart w:id="389" w:name="_Toc300934997"/>
      <w:bookmarkStart w:id="390" w:name="_Toc296891239"/>
      <w:bookmarkStart w:id="391" w:name="_Toc297120499"/>
      <w:bookmarkStart w:id="392" w:name="_Toc312677507"/>
      <w:bookmarkStart w:id="393" w:name="_Toc297048385"/>
      <w:bookmarkStart w:id="394" w:name="_Toc297123548"/>
      <w:bookmarkStart w:id="395" w:name="_Toc303539154"/>
      <w:bookmarkStart w:id="396" w:name="_Toc312678033"/>
      <w:bookmarkStart w:id="397" w:name="_Toc297216207"/>
      <w:bookmarkStart w:id="398" w:name="_Toc304295574"/>
      <w:bookmarkStart w:id="399" w:name="_Toc296346700"/>
      <w:bookmarkStart w:id="400" w:name="_Toc292559404"/>
      <w:bookmarkStart w:id="401" w:name="_Toc296944538"/>
      <w:bookmarkStart w:id="402" w:name="_Toc292559909"/>
      <w:bookmarkStart w:id="403" w:name="_Toc296891027"/>
      <w:bookmarkStart w:id="404" w:name="_Toc296503199"/>
      <w:bookmarkStart w:id="405" w:name="_Toc296347198"/>
      <w:r>
        <w:rPr>
          <w:color w:val="000000"/>
          <w:position w:val="0"/>
          <w:sz w:val="24"/>
          <w:szCs w:val="24"/>
          <w:rFonts w:ascii="仿宋" w:eastAsia="仿宋" w:hAnsi="仿宋" w:hint="default"/>
        </w:rPr>
        <w:t xml:space="preserve">0.7 暂估价</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暂</w:t>
      </w:r>
      <w:bookmarkStart w:id="406" w:name="_Toc312678034"/>
      <w:bookmarkStart w:id="407" w:name="_Toc312677508"/>
      <w:bookmarkStart w:id="408" w:name="_Toc318581176"/>
      <w:r>
        <w:rPr>
          <w:color w:val="auto"/>
          <w:position w:val="0"/>
          <w:sz w:val="24"/>
          <w:szCs w:val="24"/>
          <w:rFonts w:ascii="仿宋" w:eastAsia="仿宋" w:hAnsi="仿宋" w:hint="default"/>
        </w:rPr>
        <w:t>估价材料和工程设备的明细详见附件11：《</w:t>
      </w:r>
      <w:r>
        <w:rPr>
          <w:color w:val="000000"/>
          <w:position w:val="0"/>
          <w:sz w:val="24"/>
          <w:szCs w:val="24"/>
          <w:rFonts w:ascii="仿宋" w:eastAsia="仿宋" w:hAnsi="仿宋" w:hint="default"/>
        </w:rPr>
        <w:t>暂估价一览表》</w:t>
      </w:r>
      <w:r>
        <w:rPr>
          <w:color w:val="auto"/>
          <w:position w:val="0"/>
          <w:sz w:val="24"/>
          <w:szCs w:val="24"/>
          <w:rFonts w:ascii="仿宋" w:eastAsia="仿宋" w:hAnsi="仿宋" w:hint="default"/>
        </w:rPr>
        <w:t>。</w:t>
      </w:r>
      <w:bookmarkEnd w:id="406"/>
      <w:bookmarkEnd w:id="407"/>
      <w:bookmarkEnd w:id="408"/>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w:t>
      </w:r>
      <w:bookmarkStart w:id="409" w:name="_Toc312677509"/>
      <w:bookmarkStart w:id="410" w:name="_Toc312678035"/>
      <w:bookmarkStart w:id="411" w:name="_Toc318581177"/>
      <w:r>
        <w:rPr>
          <w:color w:val="auto"/>
          <w:position w:val="0"/>
          <w:sz w:val="24"/>
          <w:szCs w:val="24"/>
          <w:rFonts w:ascii="仿宋" w:eastAsia="仿宋" w:hAnsi="仿宋" w:hint="default"/>
        </w:rPr>
        <w:t xml:space="preserve">0.7.1 依法必须招标的暂估价项目</w:t>
      </w:r>
      <w:bookmarkEnd w:id="409"/>
      <w:bookmarkEnd w:id="410"/>
      <w:bookmarkEnd w:id="411"/>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对于依法必须招标的暂估价项目的确认和批准采取第</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种方式确定。</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10.7.2 不属于依法必须招标的暂估价项目</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对于不属于依法必须招标的暂估价项目的确认和批准采取第</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 xml:space="preserve"> 种方式确</w:t>
      </w:r>
      <w:r>
        <w:rPr>
          <w:color w:val="auto"/>
          <w:position w:val="0"/>
          <w:sz w:val="24"/>
          <w:szCs w:val="24"/>
          <w:rFonts w:ascii="仿宋" w:eastAsia="仿宋" w:hAnsi="仿宋" w:hint="default"/>
        </w:rPr>
        <w:t>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第3种方式：承包人直接实施的暂估价项目</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承包人直接实施的暂估价项目的约定：</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10.8 暂列金额</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合同当事人关于暂列金额使用的约定：</w:t>
      </w:r>
      <w:r>
        <w:rPr>
          <w:color w:val="auto"/>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412" w:name="_Toc351203643"/>
      <w:r>
        <w:rPr>
          <w:color w:val="000000"/>
          <w:position w:val="0"/>
          <w:sz w:val="24"/>
          <w:szCs w:val="24"/>
          <w:rFonts w:ascii="仿宋" w:eastAsia="仿宋" w:hAnsi="仿宋" w:hint="default"/>
        </w:rPr>
        <w:t xml:space="preserve">11. 价格调整</w:t>
      </w:r>
      <w:bookmarkEnd w:id="412"/>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413" w:name="_Toc296347200"/>
      <w:bookmarkStart w:id="414" w:name="_Toc297216209"/>
      <w:bookmarkStart w:id="415" w:name="_Toc303539157"/>
      <w:bookmarkStart w:id="416" w:name="_Toc296891241"/>
      <w:bookmarkStart w:id="417" w:name="_Toc297048387"/>
      <w:bookmarkStart w:id="418" w:name="_Toc296503201"/>
      <w:bookmarkStart w:id="419" w:name="_Toc300935000"/>
      <w:bookmarkStart w:id="420" w:name="_Toc292559911"/>
      <w:bookmarkStart w:id="421" w:name="_Toc292559406"/>
      <w:bookmarkStart w:id="422" w:name="_Toc296891029"/>
      <w:bookmarkStart w:id="423" w:name="_Toc304295577"/>
      <w:bookmarkStart w:id="424" w:name="_Toc297123550"/>
      <w:bookmarkStart w:id="425" w:name="_Toc296944540"/>
      <w:bookmarkStart w:id="426" w:name="_Toc297120501"/>
      <w:bookmarkStart w:id="427" w:name="_Toc312678039"/>
      <w:bookmarkStart w:id="428" w:name="_Toc296346702"/>
      <w:r>
        <w:rPr>
          <w:color w:val="000000"/>
          <w:position w:val="0"/>
          <w:sz w:val="24"/>
          <w:szCs w:val="24"/>
          <w:rFonts w:ascii="仿宋" w:eastAsia="仿宋" w:hAnsi="仿宋" w:hint="default"/>
        </w:rPr>
        <w:t xml:space="preserve">11.1 市场价格波动引起的调整</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市场价格波动是否调整合同价格的约定：</w:t>
      </w:r>
      <w:r>
        <w:rPr>
          <w:color w:val="auto"/>
          <w:position w:val="0"/>
          <w:sz w:val="24"/>
          <w:szCs w:val="24"/>
          <w:u w:val="single"/>
          <w:rFonts w:ascii="仿宋" w:eastAsia="仿宋" w:hAnsi="仿宋" w:hint="default"/>
        </w:rPr>
        <w:t xml:space="preserve">  </w:t>
      </w:r>
      <w:r>
        <w:rPr>
          <w:b w:val="1"/>
          <w:color w:val="auto"/>
          <w:position w:val="0"/>
          <w:sz w:val="24"/>
          <w:szCs w:val="24"/>
          <w:u w:val="single"/>
          <w:rFonts w:ascii="仿宋" w:eastAsia="仿宋" w:hAnsi="仿宋" w:hint="default"/>
        </w:rPr>
        <w:t>不调整</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因市场价格波动调整合同价格，采用以下</w:t>
      </w:r>
      <w:r>
        <w:rPr>
          <w:color w:val="auto"/>
          <w:position w:val="0"/>
          <w:sz w:val="24"/>
          <w:szCs w:val="24"/>
          <w:rFonts w:ascii="仿宋" w:eastAsia="仿宋" w:hAnsi="仿宋" w:hint="default"/>
        </w:rPr>
        <w:t>第</w:t>
      </w:r>
      <w:r>
        <w:rPr>
          <w:color w:val="auto"/>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种方式对合同价格进行调</w:t>
      </w:r>
      <w:r>
        <w:rPr>
          <w:color w:val="000000"/>
          <w:position w:val="0"/>
          <w:sz w:val="24"/>
          <w:szCs w:val="24"/>
          <w:rFonts w:ascii="仿宋" w:eastAsia="仿宋" w:hAnsi="仿宋" w:hint="default"/>
        </w:rPr>
        <w:t>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第1种方式：采用价格指数进行价格调整。</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关于各可调因子、定值和变值权重，以及基本价格指数及其来源的约定：</w:t>
      </w:r>
      <w:r>
        <w:rPr>
          <w:color w:val="000000"/>
          <w:position w:val="0"/>
          <w:sz w:val="24"/>
          <w:szCs w:val="24"/>
          <w:u w:val="single"/>
          <w:rFonts w:ascii="仿宋" w:eastAsia="仿宋" w:hAnsi="仿宋" w:hint="default"/>
        </w:rPr>
        <w:t xml:space="preserve">  </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第2种方式：采用造价信息进行价格调整。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（2）关于基准价格的约定：</w:t>
      </w:r>
      <w:r>
        <w:rPr>
          <w:color w:val="auto"/>
          <w:position w:val="0"/>
          <w:sz w:val="24"/>
          <w:szCs w:val="24"/>
          <w:u w:val="single"/>
          <w:rFonts w:ascii="仿宋" w:eastAsia="仿宋" w:hAnsi="仿宋" w:hint="default"/>
        </w:rPr>
        <w:t xml:space="preserve">    /  </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专用合同条款①承包人在已标价工程量清单或预算书中载明的材料单价低</w:t>
      </w:r>
      <w:r>
        <w:rPr>
          <w:color w:val="000000"/>
          <w:position w:val="0"/>
          <w:sz w:val="24"/>
          <w:szCs w:val="24"/>
          <w:rFonts w:ascii="仿宋" w:eastAsia="仿宋" w:hAnsi="仿宋" w:hint="default"/>
        </w:rPr>
        <w:t>于基准价格的：专用合同条款合同履行期间材料单价涨幅以基准价格为基础超</w:t>
      </w:r>
      <w:r>
        <w:rPr>
          <w:color w:val="000000"/>
          <w:position w:val="0"/>
          <w:sz w:val="24"/>
          <w:szCs w:val="24"/>
          <w:rFonts w:ascii="仿宋" w:eastAsia="仿宋" w:hAnsi="仿宋" w:hint="default"/>
        </w:rPr>
        <w:t>过</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%时，或材料单价跌幅以已标价工程量清单或预算书中载明材料单价为基</w:t>
      </w:r>
      <w:r>
        <w:rPr>
          <w:color w:val="000000"/>
          <w:position w:val="0"/>
          <w:sz w:val="24"/>
          <w:szCs w:val="24"/>
          <w:rFonts w:ascii="仿宋" w:eastAsia="仿宋" w:hAnsi="仿宋" w:hint="default"/>
        </w:rPr>
        <w:t>础超过</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%时，其超过部分据实调整。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②承包人在已标价工程量清单或预算书中载明的材料单价高于基准价格的</w:t>
      </w:r>
      <w:r>
        <w:rPr>
          <w:color w:val="000000"/>
          <w:position w:val="0"/>
          <w:sz w:val="24"/>
          <w:szCs w:val="24"/>
          <w:rFonts w:ascii="仿宋" w:eastAsia="仿宋" w:hAnsi="仿宋" w:hint="default"/>
        </w:rPr>
        <w:t>：专用合同条款合同履行期间材料单价跌幅以基准价格为基础超过</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%时，材</w:t>
      </w:r>
      <w:r>
        <w:rPr>
          <w:color w:val="000000"/>
          <w:position w:val="0"/>
          <w:sz w:val="24"/>
          <w:szCs w:val="24"/>
          <w:rFonts w:ascii="仿宋" w:eastAsia="仿宋" w:hAnsi="仿宋" w:hint="default"/>
        </w:rPr>
        <w:t>料单价涨幅以已标价工程量清单或预算书中载明材料单价为基础超过</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%时，</w:t>
      </w:r>
      <w:r>
        <w:rPr>
          <w:color w:val="000000"/>
          <w:position w:val="0"/>
          <w:sz w:val="24"/>
          <w:szCs w:val="24"/>
          <w:rFonts w:ascii="仿宋" w:eastAsia="仿宋" w:hAnsi="仿宋" w:hint="default"/>
        </w:rPr>
        <w:t>其超过部分据实调整。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③承包人在已标价工程量清单或预算书中载明的材料单价等于基准单价的</w:t>
      </w:r>
      <w:r>
        <w:rPr>
          <w:color w:val="000000"/>
          <w:position w:val="0"/>
          <w:sz w:val="24"/>
          <w:szCs w:val="24"/>
          <w:rFonts w:ascii="仿宋" w:eastAsia="仿宋" w:hAnsi="仿宋" w:hint="default"/>
        </w:rPr>
        <w:t>：专用合同条款合同履行期间材料单价涨跌幅以基准单价为基础超过±</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%时，</w:t>
      </w:r>
      <w:r>
        <w:rPr>
          <w:color w:val="000000"/>
          <w:position w:val="0"/>
          <w:sz w:val="24"/>
          <w:szCs w:val="24"/>
          <w:rFonts w:ascii="仿宋" w:eastAsia="仿宋" w:hAnsi="仿宋" w:hint="default"/>
        </w:rPr>
        <w:t>其超过部分据实调整。</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第3种方式：其他价格调整方式：</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429" w:name="_Toc297048391"/>
      <w:bookmarkStart w:id="430" w:name="_Toc296944544"/>
      <w:bookmarkStart w:id="431" w:name="_Toc292559915"/>
      <w:bookmarkStart w:id="432" w:name="_Toc296891245"/>
      <w:bookmarkStart w:id="433" w:name="_Toc297120505"/>
      <w:bookmarkStart w:id="434" w:name="_Toc296347204"/>
      <w:bookmarkStart w:id="435" w:name="_Toc296503205"/>
      <w:bookmarkStart w:id="436" w:name="_Toc292559410"/>
      <w:bookmarkStart w:id="437" w:name="_Toc296891033"/>
      <w:bookmarkStart w:id="438" w:name="_Toc296346706"/>
      <w:bookmarkStart w:id="439" w:name="_Toc351203644"/>
      <w:bookmarkStart w:id="440" w:name="_Toc312678040"/>
      <w:bookmarkStart w:id="441" w:name="_Toc297123552"/>
      <w:bookmarkStart w:id="442" w:name="_Toc297216211"/>
      <w:bookmarkStart w:id="443" w:name="_Toc300935002"/>
      <w:bookmarkStart w:id="444" w:name="_Toc303539159"/>
      <w:bookmarkStart w:id="445" w:name="_Toc304295579"/>
      <w:bookmarkEnd w:id="316"/>
      <w:bookmarkEnd w:id="317"/>
      <w:bookmarkEnd w:id="318"/>
      <w:bookmarkEnd w:id="319"/>
      <w:bookmarkEnd w:id="320"/>
      <w:bookmarkEnd w:id="321"/>
      <w:r>
        <w:rPr>
          <w:color w:val="000000"/>
          <w:position w:val="0"/>
          <w:sz w:val="24"/>
          <w:szCs w:val="24"/>
          <w:rFonts w:ascii="仿宋" w:eastAsia="仿宋" w:hAnsi="仿宋" w:hint="default"/>
        </w:rPr>
        <w:t xml:space="preserve">12. </w:t>
      </w:r>
      <w:bookmarkEnd w:id="429"/>
      <w:bookmarkEnd w:id="430"/>
      <w:bookmarkEnd w:id="431"/>
      <w:bookmarkEnd w:id="432"/>
      <w:bookmarkEnd w:id="433"/>
      <w:bookmarkEnd w:id="434"/>
      <w:bookmarkEnd w:id="435"/>
      <w:bookmarkEnd w:id="436"/>
      <w:bookmarkEnd w:id="437"/>
      <w:bookmarkEnd w:id="438"/>
      <w:r>
        <w:rPr>
          <w:color w:val="000000"/>
          <w:position w:val="0"/>
          <w:sz w:val="24"/>
          <w:szCs w:val="24"/>
          <w:rFonts w:ascii="仿宋" w:eastAsia="仿宋" w:hAnsi="仿宋" w:hint="default"/>
        </w:rPr>
        <w:t>合同价格、计量与支付</w:t>
      </w:r>
      <w:bookmarkEnd w:id="43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446" w:name="_Toc267251461"/>
      <w:bookmarkStart w:id="447" w:name="_Toc292559411"/>
      <w:bookmarkStart w:id="448" w:name="_Toc292559916"/>
      <w:bookmarkStart w:id="449" w:name="_Toc296346707"/>
      <w:bookmarkStart w:id="450" w:name="_Toc296347205"/>
      <w:bookmarkStart w:id="451" w:name="_Toc296503206"/>
      <w:bookmarkStart w:id="452" w:name="_Toc296891034"/>
      <w:bookmarkStart w:id="453" w:name="_Toc296891246"/>
      <w:bookmarkStart w:id="454" w:name="_Toc296944545"/>
      <w:bookmarkStart w:id="455" w:name="_Toc297048392"/>
      <w:bookmarkStart w:id="456" w:name="_Toc297120506"/>
      <w:bookmarkStart w:id="457" w:name="_Toc297123553"/>
      <w:bookmarkStart w:id="458" w:name="_Toc297216212"/>
      <w:bookmarkStart w:id="459" w:name="_Toc300935003"/>
      <w:bookmarkStart w:id="460" w:name="_Toc303539160"/>
      <w:bookmarkStart w:id="461" w:name="_Toc304295580"/>
      <w:bookmarkStart w:id="462" w:name="_Toc312678041"/>
      <w:bookmarkEnd w:id="440"/>
      <w:bookmarkEnd w:id="441"/>
      <w:bookmarkEnd w:id="442"/>
      <w:bookmarkEnd w:id="443"/>
      <w:bookmarkEnd w:id="444"/>
      <w:bookmarkEnd w:id="445"/>
      <w:r>
        <w:rPr>
          <w:color w:val="000000"/>
          <w:position w:val="0"/>
          <w:sz w:val="24"/>
          <w:szCs w:val="24"/>
          <w:rFonts w:ascii="仿宋" w:eastAsia="仿宋" w:hAnsi="仿宋" w:hint="default"/>
        </w:rPr>
        <w:t xml:space="preserve">12.1 合</w:t>
      </w:r>
      <w:bookmarkEnd w:id="446"/>
      <w:bookmarkEnd w:id="447"/>
      <w:bookmarkEnd w:id="448"/>
      <w:r>
        <w:rPr>
          <w:color w:val="000000"/>
          <w:position w:val="0"/>
          <w:sz w:val="24"/>
          <w:szCs w:val="24"/>
          <w:rFonts w:ascii="仿宋" w:eastAsia="仿宋" w:hAnsi="仿宋" w:hint="default"/>
        </w:rPr>
        <w:t>同价</w:t>
      </w:r>
      <w:bookmarkEnd w:id="449"/>
      <w:bookmarkEnd w:id="450"/>
      <w:bookmarkEnd w:id="451"/>
      <w:bookmarkEnd w:id="452"/>
      <w:bookmarkEnd w:id="453"/>
      <w:bookmarkEnd w:id="454"/>
      <w:bookmarkEnd w:id="455"/>
      <w:bookmarkEnd w:id="456"/>
      <w:r>
        <w:rPr>
          <w:color w:val="000000"/>
          <w:position w:val="0"/>
          <w:sz w:val="24"/>
          <w:szCs w:val="24"/>
          <w:rFonts w:ascii="仿宋" w:eastAsia="仿宋" w:hAnsi="仿宋" w:hint="default"/>
        </w:rPr>
        <w:t>格形式</w:t>
      </w:r>
      <w:bookmarkEnd w:id="457"/>
      <w:bookmarkEnd w:id="458"/>
      <w:bookmarkEnd w:id="459"/>
      <w:bookmarkEnd w:id="460"/>
      <w:bookmarkEnd w:id="461"/>
      <w:bookmarkEnd w:id="462"/>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1、单价合同。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综合单价包含的风险范围：</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风险费用的计算方法：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风险范围以外合同价格的调整方法：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2、总价合同。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总价包含的风险范围：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风险费用的计算方法：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风险范围以外合同价格的调整方法：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3、其他价格方式：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463" w:name="_Toc297216213"/>
      <w:bookmarkStart w:id="464" w:name="_Toc300935004"/>
      <w:bookmarkStart w:id="465" w:name="_Toc303539161"/>
      <w:bookmarkStart w:id="466" w:name="_Toc304295581"/>
      <w:bookmarkStart w:id="467" w:name="_Toc312678042"/>
      <w:bookmarkStart w:id="468" w:name="_Toc297123554"/>
      <w:bookmarkStart w:id="469" w:name="_Toc292559412"/>
      <w:bookmarkStart w:id="470" w:name="_Toc292559917"/>
      <w:bookmarkStart w:id="471" w:name="_Toc296346708"/>
      <w:bookmarkStart w:id="472" w:name="_Toc296347206"/>
      <w:bookmarkStart w:id="473" w:name="_Toc296503207"/>
      <w:bookmarkStart w:id="474" w:name="_Toc296891035"/>
      <w:bookmarkStart w:id="475" w:name="_Toc296891247"/>
      <w:bookmarkStart w:id="476" w:name="_Toc296944546"/>
      <w:bookmarkStart w:id="477" w:name="_Toc297048393"/>
      <w:bookmarkStart w:id="478" w:name="_Toc297120507"/>
      <w:r>
        <w:rPr>
          <w:color w:val="000000"/>
          <w:position w:val="0"/>
          <w:sz w:val="24"/>
          <w:szCs w:val="24"/>
          <w:rFonts w:ascii="仿宋" w:eastAsia="仿宋" w:hAnsi="仿宋" w:hint="default"/>
        </w:rPr>
        <w:t xml:space="preserve">12.2 预付款</w:t>
      </w:r>
      <w:bookmarkEnd w:id="463"/>
      <w:bookmarkEnd w:id="464"/>
      <w:bookmarkEnd w:id="465"/>
      <w:bookmarkEnd w:id="466"/>
      <w:bookmarkEnd w:id="467"/>
      <w:bookmarkEnd w:id="46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12.2.1 预付款的支付</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预付款支付比例或金额：</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预付款支付期限：</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预付款扣回的方式：</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12.2.2 预付款担保</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承包人提交预付款担保的期限：</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预付款担保的形式为：</w:t>
      </w:r>
      <w:r>
        <w:rPr>
          <w:color w:val="000000"/>
          <w:position w:val="0"/>
          <w:sz w:val="24"/>
          <w:szCs w:val="24"/>
          <w:u w:val="single"/>
          <w:rFonts w:ascii="仿宋" w:eastAsia="仿宋" w:hAnsi="仿宋" w:hint="default"/>
        </w:rPr>
        <w:t xml:space="preserve">      /    </w:t>
      </w:r>
      <w:r>
        <w:rPr>
          <w:color w:val="000000"/>
          <w:position w:val="0"/>
          <w:sz w:val="24"/>
          <w:szCs w:val="24"/>
          <w:rFonts w:ascii="仿宋" w:eastAsia="仿宋" w:hAnsi="仿宋" w:hint="default"/>
        </w:rPr>
        <w:t>。</w:t>
      </w:r>
      <w:bookmarkEnd w:id="469"/>
      <w:bookmarkEnd w:id="470"/>
      <w:bookmarkEnd w:id="471"/>
      <w:bookmarkEnd w:id="472"/>
      <w:bookmarkEnd w:id="473"/>
      <w:bookmarkEnd w:id="474"/>
      <w:bookmarkEnd w:id="475"/>
      <w:bookmarkEnd w:id="476"/>
      <w:bookmarkEnd w:id="477"/>
      <w:bookmarkEnd w:id="478"/>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 计量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12.3.1 计量原则</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工程量计算规则：</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12.3.2 计量周期</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关于计量周期的约定：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12.3.3 单价合同的计量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关于单价合同计量的约定：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12.3.4 总价合同的计量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关于总价合同计量的约定：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12.3.5总价合同采用支付分解表计量支付的，是否适用第12.3.4 项〔总</w:t>
      </w:r>
      <w:r>
        <w:rPr>
          <w:color w:val="000000"/>
          <w:position w:val="0"/>
          <w:sz w:val="24"/>
          <w:szCs w:val="24"/>
          <w:rFonts w:ascii="仿宋" w:eastAsia="仿宋" w:hAnsi="仿宋" w:hint="default"/>
        </w:rPr>
        <w:t>价合同的计量〕约定进行计量：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12.3.6 其他价格形式合同的计量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其他价格形式的计量方式和程序：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12.4 工程进度款支付</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479" w:name="_Toc296347210"/>
      <w:bookmarkStart w:id="480" w:name="_Toc292559416"/>
      <w:bookmarkStart w:id="481" w:name="_Toc296891039"/>
      <w:bookmarkStart w:id="482" w:name="_Toc297123556"/>
      <w:bookmarkStart w:id="483" w:name="_Toc297216215"/>
      <w:bookmarkStart w:id="484" w:name="_Toc300935006"/>
      <w:bookmarkStart w:id="485" w:name="_Toc296891251"/>
      <w:bookmarkStart w:id="486" w:name="_Toc296944550"/>
      <w:bookmarkStart w:id="487" w:name="_Toc297048397"/>
      <w:bookmarkStart w:id="488" w:name="_Toc297120511"/>
      <w:bookmarkStart w:id="489" w:name="_Toc296346712"/>
      <w:bookmarkStart w:id="490" w:name="_Toc296503211"/>
      <w:bookmarkStart w:id="491" w:name="_Toc303539163"/>
      <w:bookmarkStart w:id="492" w:name="_Toc292559921"/>
      <w:r>
        <w:rPr>
          <w:color w:val="000000"/>
          <w:position w:val="0"/>
          <w:sz w:val="24"/>
          <w:szCs w:val="24"/>
          <w:rFonts w:ascii="仿宋" w:eastAsia="仿宋" w:hAnsi="仿宋" w:hint="default"/>
        </w:rPr>
        <w:t xml:space="preserve">12.4.1 付款周期</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关于付款周期的约定：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12.4.2 进度付款申请单的编制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关于进度付款申请单编制的约定：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color w:val="000000"/>
          <w:position w:val="0"/>
          <w:sz w:val="24"/>
          <w:szCs w:val="24"/>
          <w:rFonts w:ascii="仿宋" w:eastAsia="仿宋" w:hAnsi="仿宋" w:hint="default"/>
        </w:rPr>
        <w:t xml:space="preserve">2.4.3 进度付款申请单的提交</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（1）单价合同进度付款申请单提交的约定：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（2）总价合同进度付款申请单提交的约定：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（3）其他价格形式合同进度付款申请单提交的约定：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12.4.4 进度款审核和支付</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（1）监理人审查并报送发包人的期限：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发包人完成审批并签发进度款支付证书的期限：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（2）发包人支付进度款的期限：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发包人逾期支付进度款的违约金的计算方式：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12.4.6 支付分解表的编制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2、总价合同支付分解表的编制与审批：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3、单价合同的总价项目支付分解表的编制与审批：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493" w:name="_Toc351203645"/>
      <w:bookmarkStart w:id="494" w:name="_Toc292559424"/>
      <w:bookmarkStart w:id="495" w:name="_Toc292559929"/>
      <w:bookmarkStart w:id="496" w:name="_Toc296346720"/>
      <w:bookmarkStart w:id="497" w:name="_Toc296347218"/>
      <w:bookmarkStart w:id="498" w:name="_Toc296503219"/>
      <w:bookmarkStart w:id="499" w:name="_Toc296891047"/>
      <w:bookmarkStart w:id="500" w:name="_Toc296891259"/>
      <w:bookmarkStart w:id="501" w:name="_Toc296944558"/>
      <w:bookmarkStart w:id="502" w:name="_Toc297048405"/>
      <w:bookmarkStart w:id="503" w:name="_Toc297120519"/>
      <w:bookmarkStart w:id="504" w:name="_Toc297123564"/>
      <w:bookmarkStart w:id="505" w:name="_Toc297216223"/>
      <w:bookmarkStart w:id="506" w:name="_Toc300935015"/>
      <w:bookmarkStart w:id="507" w:name="_Toc303539172"/>
      <w:bookmarkStart w:id="508" w:name="_Toc304295593"/>
      <w:bookmarkStart w:id="509" w:name="_Toc312678053"/>
      <w:bookmarkEnd w:id="322"/>
      <w:r>
        <w:rPr>
          <w:color w:val="000000"/>
          <w:position w:val="0"/>
          <w:sz w:val="24"/>
          <w:szCs w:val="24"/>
          <w:rFonts w:ascii="仿宋" w:eastAsia="仿宋" w:hAnsi="仿宋" w:hint="default"/>
        </w:rPr>
        <w:t xml:space="preserve">13. 验收和工程试车</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13.1 分部分项工程验收</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13.1.2监理人不能按时进行验收时，应提前</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小时提交书面延期要</w:t>
      </w:r>
      <w:r>
        <w:rPr>
          <w:color w:val="auto"/>
          <w:position w:val="0"/>
          <w:sz w:val="24"/>
          <w:szCs w:val="24"/>
          <w:rFonts w:ascii="仿宋" w:eastAsia="仿宋" w:hAnsi="仿宋" w:hint="default"/>
        </w:rPr>
        <w:t>求。</w:t>
      </w:r>
    </w:p>
    <w:p>
      <w:pPr>
        <w:numPr>
          <w:ilvl w:val="0"/>
          <w:numId w:val="0"/>
        </w:numPr>
        <w:jc w:val="both"/>
        <w:spacing w:lineRule="auto" w:line="360" w:before="0" w:after="0"/>
        <w:ind w:right="0" w:firstLine="480"/>
        <w:rPr>
          <w:b w:val="1"/>
          <w:color w:val="000000"/>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关于延期最长不得超过：</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小时。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510" w:name="_Toc292559428"/>
      <w:bookmarkStart w:id="511" w:name="_Toc292559933"/>
      <w:bookmarkStart w:id="512" w:name="_Toc296346724"/>
      <w:bookmarkStart w:id="513" w:name="_Toc296347222"/>
      <w:bookmarkStart w:id="514" w:name="_Toc296503223"/>
      <w:bookmarkStart w:id="515" w:name="_Toc296891051"/>
      <w:bookmarkStart w:id="516" w:name="_Toc296891263"/>
      <w:bookmarkStart w:id="517" w:name="_Toc296944562"/>
      <w:bookmarkStart w:id="518" w:name="_Toc297048409"/>
      <w:bookmarkStart w:id="519" w:name="_Toc297120523"/>
      <w:bookmarkStart w:id="520" w:name="_Toc297123565"/>
      <w:bookmarkStart w:id="521" w:name="_Toc297216224"/>
      <w:bookmarkStart w:id="522" w:name="_Toc300935016"/>
      <w:bookmarkStart w:id="523" w:name="_Toc303539173"/>
      <w:bookmarkStart w:id="524" w:name="_Toc304295596"/>
      <w:bookmarkStart w:id="525" w:name="_Toc312678056"/>
      <w:bookmarkStart w:id="526" w:name="_Toc267251476"/>
      <w:bookmarkStart w:id="527" w:name="_Toc267251475"/>
      <w:bookmarkStart w:id="528" w:name="_Toc267251474"/>
      <w:bookmarkStart w:id="529" w:name="_Toc267251473"/>
      <w:bookmarkStart w:id="530" w:name="_Toc267251472"/>
      <w:bookmarkStart w:id="531" w:name="_Toc267251471"/>
      <w:bookmarkStart w:id="532" w:name="_Toc267251470"/>
      <w:r>
        <w:rPr>
          <w:color w:val="000000"/>
          <w:position w:val="0"/>
          <w:sz w:val="24"/>
          <w:szCs w:val="24"/>
          <w:rFonts w:ascii="仿宋" w:eastAsia="仿宋" w:hAnsi="仿宋" w:hint="default"/>
        </w:rPr>
        <w:t xml:space="preserve">13.2 竣工验收</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bookmarkStart w:id="533" w:name="_Toc280868704"/>
      <w:bookmarkStart w:id="534" w:name="_Toc280868705"/>
      <w:bookmarkStart w:id="535" w:name="_Toc280868706"/>
      <w:bookmarkStart w:id="536" w:name="_Toc280868707"/>
      <w:bookmarkStart w:id="537" w:name="_Toc280868708"/>
      <w:bookmarkStart w:id="538" w:name="_Toc2808687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color w:val="000000"/>
          <w:position w:val="0"/>
          <w:sz w:val="24"/>
          <w:szCs w:val="24"/>
          <w:rFonts w:ascii="仿宋" w:eastAsia="仿宋" w:hAnsi="仿宋" w:hint="default"/>
        </w:rPr>
        <w:t>13.2.2竣工验收程序</w:t>
      </w:r>
      <w:bookmarkEnd w:id="533"/>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关于竣工验收程序的约定：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发包人不按照本项约定组织竣工验收、颁发工程接收证书的违约金的计算方</w:t>
      </w:r>
      <w:r>
        <w:rPr>
          <w:color w:val="000000"/>
          <w:position w:val="0"/>
          <w:sz w:val="24"/>
          <w:szCs w:val="24"/>
          <w:rFonts w:ascii="仿宋" w:eastAsia="仿宋" w:hAnsi="仿宋" w:hint="default"/>
        </w:rPr>
        <w:t>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bookmarkEnd w:id="534"/>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13.2.5移交、接收全部与部分工程</w:t>
      </w:r>
      <w:bookmarkEnd w:id="535"/>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承包人向发包人移交工程的期限：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发包人未按本合同约定接收全部或部分工程的，违约金的计算方法为：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bookmarkEnd w:id="536"/>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承包人未按时移交工程的，违约金的计算方法为：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13.3 工程试车</w:t>
      </w:r>
      <w:bookmarkEnd w:id="537"/>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13.3.1 试车程序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工程试车内容：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（1）单机无负荷试车费用由</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承担；</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（2）无负荷联动试车费用由</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承担。</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13.3.3 投料试车</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关于投料试车相关事项的约定：</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13.6 竣工退场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13.6.1 竣工退场</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承包人完成竣工退场的期限：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39" w:name="_Toc351203646"/>
      <w:r>
        <w:rPr>
          <w:color w:val="000000"/>
          <w:position w:val="0"/>
          <w:sz w:val="24"/>
          <w:szCs w:val="24"/>
          <w:rFonts w:ascii="仿宋" w:eastAsia="仿宋" w:hAnsi="仿宋" w:hint="default"/>
        </w:rPr>
        <w:t xml:space="preserve">14. 竣工结算</w:t>
      </w:r>
      <w:bookmarkEnd w:id="539"/>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14.1 竣工付款申请</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承包人提交竣工付款申请单的期限：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竣工付款申请单应包括的内容：</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14.2 竣工结算审核</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发包人审批竣工付款申请单的期限：</w:t>
      </w:r>
      <w:r>
        <w:rPr>
          <w:color w:val="000000"/>
          <w:position w:val="0"/>
          <w:sz w:val="24"/>
          <w:szCs w:val="24"/>
          <w:u w:val="single"/>
          <w:rFonts w:ascii="仿宋" w:eastAsia="仿宋" w:hAnsi="仿宋" w:hint="default"/>
        </w:rPr>
        <w:t>收到真实完整的结算资料并经终审审</w:t>
      </w:r>
      <w:r>
        <w:rPr>
          <w:color w:val="000000"/>
          <w:position w:val="0"/>
          <w:sz w:val="24"/>
          <w:szCs w:val="24"/>
          <w:u w:val="single"/>
          <w:rFonts w:ascii="仿宋" w:eastAsia="仿宋" w:hAnsi="仿宋" w:hint="default"/>
        </w:rPr>
        <w:t>计完成报鄂旅投总部审批后30天内</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发包人完成竣工付款的期限：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关于竣工付款证书异议部分复核的方式和程序：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14.4 最终结清</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14.4.1 最终结清申请单</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承包人提交最终结清申请单的份数：</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承包人提交最终结算申请单的期限：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r>
        <w:rPr>
          <w:color w:val="auto"/>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 xml:space="preserve">14.4.2 最终结清证书和支付</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（1）发包人完成最终结清申请单的审批并颁发最终结清证书的期限：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auto"/>
          <w:position w:val="0"/>
          <w:sz w:val="24"/>
          <w:szCs w:val="24"/>
          <w:rFonts w:ascii="仿宋" w:eastAsia="宋体" w:hAnsi="宋体" w:hint="default"/>
        </w:rPr>
        <w:snapToGrid w:val="off"/>
        <w:autoSpaceDE w:val="1"/>
        <w:autoSpaceDN w:val="1"/>
      </w:pPr>
      <w:r>
        <w:rPr>
          <w:color w:val="auto"/>
          <w:position w:val="0"/>
          <w:sz w:val="24"/>
          <w:szCs w:val="24"/>
          <w:rFonts w:ascii="仿宋" w:eastAsia="仿宋" w:hAnsi="仿宋" w:hint="default"/>
        </w:rPr>
        <w:t>（2）发包人完成支付的期限：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40" w:name="_Toc351203647"/>
      <w:bookmarkStart w:id="541" w:name="_Toc267251483"/>
      <w:bookmarkStart w:id="542" w:name="_Toc267251482"/>
      <w:bookmarkStart w:id="543" w:name="_Toc267251484"/>
      <w:bookmarkStart w:id="544" w:name="_Toc267251485"/>
      <w:bookmarkStart w:id="545" w:name="_Toc267251490"/>
      <w:bookmarkStart w:id="546" w:name="_Toc267251489"/>
      <w:bookmarkStart w:id="547" w:name="_Toc267251488"/>
      <w:bookmarkStart w:id="548" w:name="_Toc267251486"/>
      <w:bookmarkStart w:id="549" w:name="_Toc267251491"/>
      <w:bookmarkStart w:id="550" w:name="_Toc267251492"/>
      <w:bookmarkStart w:id="551" w:name="_Toc267251497"/>
      <w:bookmarkStart w:id="552" w:name="_Toc267251493"/>
      <w:bookmarkStart w:id="553" w:name="_Toc267251494"/>
      <w:bookmarkStart w:id="554" w:name="_Toc267251495"/>
      <w:bookmarkStart w:id="555" w:name="_Toc267251496"/>
      <w:bookmarkStart w:id="556" w:name="_Toc267251498"/>
      <w:bookmarkStart w:id="557" w:name="_Toc267251499"/>
      <w:bookmarkStart w:id="558" w:name="_Toc267251503"/>
      <w:bookmarkStart w:id="559" w:name="_Toc267251502"/>
      <w:bookmarkStart w:id="560" w:name="_Toc267251501"/>
      <w:bookmarkStart w:id="561" w:name="_Toc267251506"/>
      <w:bookmarkStart w:id="562" w:name="_Toc267251504"/>
      <w:bookmarkStart w:id="563" w:name="_Toc267251507"/>
      <w:bookmarkStart w:id="564" w:name="_Toc267251508"/>
      <w:bookmarkStart w:id="565" w:name="_Toc267251515"/>
      <w:bookmarkStart w:id="566" w:name="_Toc267251509"/>
      <w:bookmarkStart w:id="567" w:name="_Toc267251510"/>
      <w:bookmarkStart w:id="568" w:name="_Toc267251511"/>
      <w:bookmarkStart w:id="569" w:name="_Toc267251514"/>
      <w:bookmarkStart w:id="570" w:name="_Toc267251513"/>
      <w:bookmarkEnd w:id="526"/>
      <w:bookmarkEnd w:id="527"/>
      <w:bookmarkEnd w:id="528"/>
      <w:bookmarkEnd w:id="529"/>
      <w:bookmarkEnd w:id="530"/>
      <w:bookmarkEnd w:id="531"/>
      <w:bookmarkEnd w:id="532"/>
      <w:bookmarkEnd w:id="538"/>
      <w:r>
        <w:rPr>
          <w:color w:val="000000"/>
          <w:position w:val="0"/>
          <w:sz w:val="24"/>
          <w:szCs w:val="24"/>
          <w:rFonts w:ascii="仿宋" w:eastAsia="仿宋" w:hAnsi="仿宋" w:hint="default"/>
        </w:rPr>
        <w:t xml:space="preserve">15. 缺陷责任期与保修</w:t>
      </w:r>
      <w:bookmarkEnd w:id="540"/>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15.2缺陷责任期</w:t>
      </w:r>
      <w:bookmarkEnd w:id="541"/>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缺陷责任期的具体期限：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15.3 质量保证金</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关于是否扣留质量保证金的约定：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15.3.1 承包人提供质量保证金的方式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质量保证金采用以下第</w:t>
      </w:r>
      <w:r>
        <w:rPr>
          <w:color w:val="000000"/>
          <w:position w:val="0"/>
          <w:sz w:val="24"/>
          <w:szCs w:val="24"/>
          <w:u w:val="single"/>
          <w:rFonts w:ascii="仿宋" w:eastAsia="仿宋" w:hAnsi="仿宋" w:hint="default"/>
        </w:rPr>
        <w:t xml:space="preserve">   （2）  </w:t>
      </w:r>
      <w:r>
        <w:rPr>
          <w:color w:val="000000"/>
          <w:position w:val="0"/>
          <w:sz w:val="24"/>
          <w:szCs w:val="24"/>
          <w:rFonts w:ascii="仿宋" w:eastAsia="仿宋" w:hAnsi="仿宋" w:hint="default"/>
        </w:rPr>
        <w:t>种方式：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（1）质量保证金保函，保证金额为：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（2）</w:t>
      </w:r>
      <w:r>
        <w:rPr>
          <w:color w:val="000000"/>
          <w:position w:val="0"/>
          <w:sz w:val="24"/>
          <w:szCs w:val="24"/>
          <w:u w:val="single"/>
          <w:rFonts w:ascii="仿宋" w:eastAsia="仿宋" w:hAnsi="仿宋" w:hint="default"/>
        </w:rPr>
        <w:t xml:space="preserve">   3   </w:t>
      </w:r>
      <w:r>
        <w:rPr>
          <w:color w:val="000000"/>
          <w:position w:val="0"/>
          <w:sz w:val="24"/>
          <w:szCs w:val="24"/>
          <w:rFonts w:ascii="仿宋" w:eastAsia="仿宋" w:hAnsi="仿宋" w:hint="default"/>
        </w:rPr>
        <w:t>%的工程款；</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（3）其他方式: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15.3.2 质量保证金的扣留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质量保证金的扣留采取以下第</w:t>
      </w:r>
      <w:r>
        <w:rPr>
          <w:color w:val="000000"/>
          <w:position w:val="0"/>
          <w:sz w:val="24"/>
          <w:szCs w:val="24"/>
          <w:u w:val="single"/>
          <w:rFonts w:ascii="仿宋" w:eastAsia="仿宋" w:hAnsi="仿宋" w:hint="default"/>
        </w:rPr>
        <w:t xml:space="preserve">  （2）  </w:t>
      </w:r>
      <w:r>
        <w:rPr>
          <w:color w:val="000000"/>
          <w:position w:val="0"/>
          <w:sz w:val="24"/>
          <w:szCs w:val="24"/>
          <w:rFonts w:ascii="仿宋" w:eastAsia="仿宋" w:hAnsi="仿宋" w:hint="default"/>
        </w:rPr>
        <w:t>种方式：</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（1）在支付工程进度款时逐次扣留，在此情形下，质量保证金的计算基数</w:t>
      </w:r>
      <w:r>
        <w:rPr>
          <w:color w:val="000000"/>
          <w:position w:val="0"/>
          <w:sz w:val="24"/>
          <w:szCs w:val="24"/>
          <w:rFonts w:ascii="仿宋" w:eastAsia="仿宋" w:hAnsi="仿宋" w:hint="default"/>
        </w:rPr>
        <w:t>不包括预付款的支付、扣回以及价格调整的金额；</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（2）工程竣工结算时一次性扣留质量保证金；</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（3）其他扣留方式: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关于质量保证金的补充约定：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bookmarkEnd w:id="542"/>
      <w:bookmarkEnd w:id="543"/>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15.4保修</w:t>
      </w:r>
      <w:bookmarkEnd w:id="544"/>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15.4.1 保修责任</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工程保修期为：</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15.4.3 修复通知</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承包人收到保修通知并到达工程现场的合理时间：</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71" w:name="_Toc351203648"/>
      <w:bookmarkStart w:id="572" w:name="_Toc280868717"/>
      <w:bookmarkStart w:id="573" w:name="_Toc280868718"/>
      <w:bookmarkEnd w:id="545"/>
      <w:bookmarkEnd w:id="546"/>
      <w:bookmarkEnd w:id="547"/>
      <w:bookmarkEnd w:id="548"/>
      <w:r>
        <w:rPr>
          <w:color w:val="000000"/>
          <w:position w:val="0"/>
          <w:sz w:val="24"/>
          <w:szCs w:val="24"/>
          <w:rFonts w:ascii="仿宋" w:eastAsia="仿宋" w:hAnsi="仿宋" w:hint="default"/>
        </w:rPr>
        <w:t xml:space="preserve">16. 违约</w:t>
      </w:r>
      <w:bookmarkEnd w:id="571"/>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16.1 发包人违约</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16.1.1发包人违约的情形</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发包人违约的其他情形：</w:t>
      </w:r>
      <w:r>
        <w:rPr>
          <w:color w:val="000000"/>
          <w:position w:val="0"/>
          <w:sz w:val="24"/>
          <w:szCs w:val="24"/>
          <w:u w:val="single"/>
          <w:rFonts w:ascii="仿宋" w:eastAsia="仿宋" w:hAnsi="仿宋" w:hint="default"/>
        </w:rPr>
        <w:t xml:space="preserve">          </w:t>
      </w:r>
    </w:p>
    <w:p>
      <w:pPr>
        <w:numPr>
          <w:ilvl w:val="0"/>
          <w:numId w:val="0"/>
        </w:numPr>
        <w:jc w:val="both"/>
        <w:spacing w:lineRule="auto" w:line="360" w:before="0" w:after="0"/>
        <w:ind w:right="0" w:firstLine="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    16.1.2 发包人违约的责任</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发包人违约责任的承担方式和计算方法：</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（1）因发包人原因未能在计划开工日期前7天内下达开工通知的违约责任</w:t>
      </w:r>
      <w:r>
        <w:rPr>
          <w:color w:val="000000"/>
          <w:position w:val="0"/>
          <w:sz w:val="24"/>
          <w:szCs w:val="24"/>
          <w:rFonts w:ascii="仿宋" w:eastAsia="仿宋" w:hAnsi="仿宋" w:hint="default"/>
        </w:rPr>
        <w:t>：</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（2）因发包人原因未能按合同约定支付合同价款的违约责任：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（3）发包人违反第10.1款〔变更的范围〕第（2）项约定，自行实施被取</w:t>
      </w:r>
      <w:r>
        <w:rPr>
          <w:color w:val="000000"/>
          <w:position w:val="0"/>
          <w:sz w:val="24"/>
          <w:szCs w:val="24"/>
          <w:rFonts w:ascii="仿宋" w:eastAsia="仿宋" w:hAnsi="仿宋" w:hint="default"/>
        </w:rPr>
        <w:t>消的工作或转由他人实施的违约责任：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（4）发包人提供的材料、工程设备的规格、数量或质量不符合合同约定，或</w:t>
      </w:r>
      <w:r>
        <w:rPr>
          <w:color w:val="000000"/>
          <w:position w:val="0"/>
          <w:sz w:val="24"/>
          <w:szCs w:val="24"/>
          <w:rFonts w:ascii="仿宋" w:eastAsia="仿宋" w:hAnsi="仿宋" w:hint="default"/>
        </w:rPr>
        <w:t>因发包人原因导致交货日期延误或交货地点变更等情况的违约责任：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（5）因发包人违反合同约定造成暂停施工的违约责任：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（6）发包人无正当理由没有在约定期限内发出复工指示，导致承包人无法</w:t>
      </w:r>
      <w:r>
        <w:rPr>
          <w:color w:val="000000"/>
          <w:position w:val="0"/>
          <w:sz w:val="24"/>
          <w:szCs w:val="24"/>
          <w:rFonts w:ascii="仿宋" w:eastAsia="仿宋" w:hAnsi="仿宋" w:hint="default"/>
        </w:rPr>
        <w:t>复工的违约责任：</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（7）其他：</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16.1.3 因发包人违约解除合同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承包人按16.1.1项〔发包人违约的情形〕约定暂停施工满</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天后发包人</w:t>
      </w:r>
      <w:r>
        <w:rPr>
          <w:color w:val="000000"/>
          <w:position w:val="0"/>
          <w:sz w:val="24"/>
          <w:szCs w:val="24"/>
          <w:rFonts w:ascii="仿宋" w:eastAsia="仿宋" w:hAnsi="仿宋" w:hint="default"/>
        </w:rPr>
        <w:t>仍不纠正其违约行为并致使合同目的不能实现的，承包人有权解除合同。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16.2 承包人违约</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16.2.1 承包人违约的情形</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承包人违约的其他情形：</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16.2.2承包人违约的责任</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承包人违约责任的承担方式和计算方法：</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16.2.3 因承包人违约解除合同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关于承包人违约解除合同的特别约定：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发包人继续使用承包人在施工现场的材料、设备、临时工程、承包人文件</w:t>
      </w:r>
      <w:r>
        <w:rPr>
          <w:color w:val="000000"/>
          <w:position w:val="0"/>
          <w:sz w:val="24"/>
          <w:szCs w:val="24"/>
          <w:rFonts w:ascii="仿宋" w:eastAsia="仿宋" w:hAnsi="仿宋" w:hint="default"/>
        </w:rPr>
        <w:t xml:space="preserve">和由承包人或以其名义编制的其他文件的费用承担方式：  </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74" w:name="_Toc351203649"/>
      <w:r>
        <w:rPr>
          <w:color w:val="000000"/>
          <w:position w:val="0"/>
          <w:sz w:val="24"/>
          <w:szCs w:val="24"/>
          <w:rFonts w:ascii="仿宋" w:eastAsia="仿宋" w:hAnsi="仿宋" w:hint="default"/>
        </w:rPr>
        <w:t xml:space="preserve">17. 不可抗力</w:t>
      </w:r>
      <w:bookmarkEnd w:id="574"/>
      <w:r>
        <w:rPr>
          <w:color w:val="000000"/>
          <w:position w:val="0"/>
          <w:sz w:val="24"/>
          <w:szCs w:val="24"/>
          <w:rFonts w:ascii="仿宋" w:eastAsia="仿宋" w:hAnsi="仿宋" w:hint="default"/>
        </w:rPr>
        <w:t xml:space="preserve"> </w:t>
      </w:r>
      <w:bookmarkEnd w:id="572"/>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17.1 不可抗力的确认</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除通用合同条款约定的不可抗力事件之外，视为不可抗力的其他情形： </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17.4 因不可抗力解除合同</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合同解除后，发包人应在商定或确定发包人应支付款项后</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天内完成款</w:t>
      </w:r>
      <w:r>
        <w:rPr>
          <w:color w:val="000000"/>
          <w:position w:val="0"/>
          <w:sz w:val="24"/>
          <w:szCs w:val="24"/>
          <w:rFonts w:ascii="仿宋" w:eastAsia="仿宋" w:hAnsi="仿宋" w:hint="default"/>
        </w:rPr>
        <w:t>项的支付。</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75" w:name="_Toc351203650"/>
      <w:r>
        <w:rPr>
          <w:color w:val="000000"/>
          <w:position w:val="0"/>
          <w:sz w:val="24"/>
          <w:szCs w:val="24"/>
          <w:rFonts w:ascii="仿宋" w:eastAsia="仿宋" w:hAnsi="仿宋" w:hint="default"/>
        </w:rPr>
        <w:t xml:space="preserve">18. 保险</w:t>
      </w:r>
      <w:bookmarkEnd w:id="575"/>
      <w:bookmarkEnd w:id="573"/>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18.1 工程保险</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关于工程保险的特别约定：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18.3 其他保险</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关于其他保险的约定：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承包人是否应为其施工设备等办理财产保险：</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18.7 通知义务</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关于变更保险合同时的通知义务的约定：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left"/>
        <w:spacing w:lineRule="auto" w:line="240" w:before="0" w:after="200"/>
        <w:ind w:right="0" w:firstLine="0"/>
        <w:rPr>
          <w:b w:val="1"/>
          <w:color w:val="000000"/>
          <w:position w:val="0"/>
          <w:sz w:val="24"/>
          <w:szCs w:val="24"/>
          <w:rFonts w:ascii="仿宋" w:eastAsia="宋体" w:hAnsi="宋体" w:hint="default"/>
        </w:rPr>
        <w:snapToGrid w:val="off"/>
        <w:autoSpaceDE w:val="1"/>
        <w:autoSpaceDN w:val="1"/>
      </w:pPr>
      <w:bookmarkStart w:id="576" w:name="_Toc351203651"/>
      <w:bookmarkEnd w:id="549"/>
      <w:bookmarkEnd w:id="550"/>
      <w:bookmarkEnd w:id="551"/>
      <w:bookmarkEnd w:id="552"/>
      <w:bookmarkEnd w:id="553"/>
      <w:bookmarkEnd w:id="554"/>
      <w:bookmarkEnd w:id="555"/>
      <w:bookmarkEnd w:id="556"/>
      <w:bookmarkEnd w:id="557"/>
      <w:bookmarkEnd w:id="558"/>
      <w:bookmarkEnd w:id="559"/>
      <w:bookmarkEnd w:id="560"/>
      <w:r>
        <w:rPr>
          <w:color w:val="000000"/>
          <w:position w:val="0"/>
          <w:sz w:val="24"/>
          <w:szCs w:val="24"/>
          <w:rFonts w:ascii="仿宋" w:eastAsia="仿宋" w:hAnsi="仿宋" w:hint="default"/>
        </w:rPr>
        <w:t xml:space="preserve">20. 争议解决</w:t>
      </w:r>
      <w:bookmarkEnd w:id="576"/>
      <w:bookmarkEnd w:id="561"/>
      <w:bookmarkEnd w:id="562"/>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20.3 争</w:t>
      </w:r>
      <w:bookmarkEnd w:id="563"/>
      <w:r>
        <w:rPr>
          <w:color w:val="000000"/>
          <w:position w:val="0"/>
          <w:sz w:val="24"/>
          <w:szCs w:val="24"/>
          <w:rFonts w:ascii="仿宋" w:eastAsia="仿宋" w:hAnsi="仿宋" w:hint="default"/>
        </w:rPr>
        <w:t>议评审</w:t>
      </w:r>
    </w:p>
    <w:p>
      <w:pPr>
        <w:numPr>
          <w:ilvl w:val="0"/>
          <w:numId w:val="0"/>
        </w:numPr>
        <w:jc w:val="both"/>
        <w:spacing w:lineRule="auto" w:line="360" w:before="0" w:after="0"/>
        <w:ind w:left="156"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合同当事人是否同意将工程争议提交争议评审小组决定：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 xml:space="preserve">20.3.1 争议评审小组的确定</w:t>
      </w:r>
    </w:p>
    <w:p>
      <w:pPr>
        <w:numPr>
          <w:ilvl w:val="0"/>
          <w:numId w:val="0"/>
        </w:numPr>
        <w:jc w:val="both"/>
        <w:spacing w:lineRule="auto" w:line="360" w:before="0" w:after="0"/>
        <w:ind w:right="0" w:firstLine="480"/>
        <w:rPr>
          <w:color w:val="000000"/>
          <w:position w:val="0"/>
          <w:sz w:val="24"/>
          <w:szCs w:val="24"/>
          <w:u w:val="single"/>
          <w:rFonts w:ascii="仿宋" w:eastAsia="宋体" w:hAnsi="宋体" w:hint="default"/>
        </w:rPr>
        <w:snapToGrid w:val="off"/>
        <w:autoSpaceDE w:val="1"/>
        <w:autoSpaceDN w:val="1"/>
      </w:pPr>
      <w:r>
        <w:rPr>
          <w:color w:val="000000"/>
          <w:position w:val="0"/>
          <w:sz w:val="24"/>
          <w:szCs w:val="24"/>
          <w:rFonts w:ascii="仿宋" w:eastAsia="仿宋" w:hAnsi="仿宋" w:hint="default"/>
        </w:rPr>
        <w:t>争议评审小组成员的确定：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选定争议评审员的期限：</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争议评审小组成员的报酬承担方式：</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其他事项的约定：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0"/>
        <w:autoSpaceDN w:val="0"/>
      </w:pPr>
      <w:r>
        <w:rPr>
          <w:color w:val="000000"/>
          <w:position w:val="0"/>
          <w:sz w:val="24"/>
          <w:szCs w:val="24"/>
          <w:rFonts w:ascii="仿宋" w:eastAsia="仿宋" w:hAnsi="仿宋" w:hint="default"/>
        </w:rPr>
        <w:t xml:space="preserve">20.3.2 争议评审小组的决定</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合同当事人关于本项的约定：</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20.4仲裁或诉讼</w:t>
      </w:r>
      <w:bookmarkEnd w:id="564"/>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因合同及合同有关事项发生的争议，按下列第</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种方式解决：</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（1）向</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仲裁委员会申请仲裁；</w:t>
      </w:r>
    </w:p>
    <w:p>
      <w:pPr>
        <w:numPr>
          <w:ilvl w:val="0"/>
          <w:numId w:val="0"/>
        </w:numPr>
        <w:jc w:val="both"/>
        <w:spacing w:lineRule="auto" w:line="360" w:before="0" w:after="0"/>
        <w:ind w:right="0" w:firstLine="480"/>
        <w:rPr>
          <w:color w:val="000000"/>
          <w:position w:val="0"/>
          <w:sz w:val="24"/>
          <w:szCs w:val="24"/>
          <w:rFonts w:ascii="仿宋" w:eastAsia="宋体" w:hAnsi="宋体" w:hint="default"/>
        </w:rPr>
        <w:snapToGrid w:val="off"/>
        <w:autoSpaceDE w:val="1"/>
        <w:autoSpaceDN w:val="1"/>
      </w:pPr>
      <w:r>
        <w:rPr>
          <w:color w:val="000000"/>
          <w:position w:val="0"/>
          <w:sz w:val="24"/>
          <w:szCs w:val="24"/>
          <w:rFonts w:ascii="仿宋" w:eastAsia="仿宋" w:hAnsi="仿宋" w:hint="default"/>
        </w:rPr>
        <w:t>（2）向</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人民法院起诉。</w:t>
      </w:r>
      <w:bookmarkEnd w:id="565"/>
      <w:bookmarkEnd w:id="566"/>
      <w:bookmarkEnd w:id="567"/>
      <w:bookmarkEnd w:id="568"/>
      <w:bookmarkEnd w:id="569"/>
      <w:bookmarkEnd w:id="570"/>
    </w:p>
    <w:p>
      <w:pPr>
        <w:numPr>
          <w:ilvl w:val="0"/>
          <w:numId w:val="0"/>
        </w:numPr>
        <w:jc w:val="left"/>
        <w:spacing w:lineRule="atLeast" w:line="220" w:before="0" w:after="200"/>
        <w:ind w:right="0" w:firstLine="0"/>
        <w:rPr>
          <w:color w:val="auto"/>
          <w:position w:val="0"/>
          <w:sz w:val="22"/>
          <w:szCs w:val="22"/>
          <w:rFonts w:ascii="Tahoma" w:eastAsia="Tahoma" w:hAnsi="Tahoma"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pStyle w:val="PO8"/>
        <w:numPr>
          <w:ilvl w:val="0"/>
          <w:numId w:val="0"/>
        </w:numPr>
        <w:jc w:val="left"/>
        <w:spacing w:lineRule="auto" w:line="415" w:before="260" w:after="260"/>
        <w:ind w:right="0" w:firstLine="0"/>
        <w:rPr>
          <w:b w:val="1"/>
          <w:color w:val="auto"/>
          <w:position w:val="0"/>
          <w:sz w:val="28"/>
          <w:szCs w:val="28"/>
          <w:rFonts w:ascii="宋体" w:eastAsia="宋体" w:hAnsi="宋体" w:hint="default"/>
        </w:rPr>
        <w:outlineLvl w:val="1"/>
        <w:snapToGrid w:val="off"/>
        <w:autoSpaceDE w:val="1"/>
        <w:autoSpaceDN w:val="1"/>
      </w:pPr>
      <w:bookmarkStart w:id="577" w:name="_Toc144974827"/>
      <w:bookmarkStart w:id="578" w:name="_Toc152042547"/>
      <w:bookmarkStart w:id="579" w:name="_Toc152045768"/>
      <w:bookmarkStart w:id="580" w:name="_Toc179632786"/>
      <w:bookmarkStart w:id="581" w:name="_Toc246996337"/>
      <w:bookmarkStart w:id="582" w:name="_Toc246997080"/>
      <w:bookmarkStart w:id="583" w:name="_Toc247085852"/>
      <w:bookmarkStart w:id="584" w:name="_Toc487731450"/>
      <w:bookmarkStart w:id="585" w:name="_Toc504125543"/>
      <w:r>
        <w:rPr>
          <w:b w:val="1"/>
          <w:color w:val="auto"/>
          <w:position w:val="0"/>
          <w:sz w:val="28"/>
          <w:szCs w:val="28"/>
          <w:rFonts w:ascii="宋体" w:eastAsia="宋体" w:hAnsi="宋体" w:hint="default"/>
        </w:rPr>
        <w:t>附件一：</w:t>
      </w:r>
      <w:bookmarkEnd w:id="577"/>
      <w:bookmarkEnd w:id="578"/>
      <w:bookmarkEnd w:id="579"/>
      <w:bookmarkEnd w:id="580"/>
      <w:bookmarkEnd w:id="581"/>
      <w:bookmarkEnd w:id="582"/>
      <w:bookmarkEnd w:id="583"/>
      <w:r>
        <w:rPr>
          <w:b w:val="1"/>
          <w:color w:val="auto"/>
          <w:position w:val="0"/>
          <w:sz w:val="28"/>
          <w:szCs w:val="28"/>
          <w:rFonts w:ascii="宋体" w:eastAsia="宋体" w:hAnsi="宋体" w:hint="default"/>
        </w:rPr>
        <w:t>湖北省房屋建筑和市政工程建设廉洁协议书</w:t>
      </w:r>
      <w:bookmarkEnd w:id="584"/>
      <w:bookmarkEnd w:id="585"/>
    </w:p>
    <w:p>
      <w:pPr>
        <w:numPr>
          <w:ilvl w:val="0"/>
          <w:numId w:val="0"/>
        </w:numPr>
        <w:jc w:val="left"/>
        <w:spacing w:lineRule="exact" w:line="410" w:before="0" w:after="200"/>
        <w:ind w:right="0" w:firstLine="482"/>
        <w:rPr>
          <w:b w:val="1"/>
          <w:color w:val="auto"/>
          <w:position w:val="0"/>
          <w:sz w:val="24"/>
          <w:szCs w:val="24"/>
          <w:rFonts w:ascii="宋体" w:eastAsia="宋体" w:hAnsi="宋体" w:hint="default"/>
        </w:rPr>
        <w:snapToGrid w:val="off"/>
        <w:autoSpaceDE w:val="1"/>
        <w:autoSpaceDN w:val="1"/>
      </w:pPr>
      <w:r>
        <w:rPr>
          <w:b w:val="1"/>
          <w:color w:val="auto"/>
          <w:position w:val="0"/>
          <w:sz w:val="24"/>
          <w:szCs w:val="24"/>
          <w:rFonts w:ascii="宋体" w:eastAsia="宋体" w:hAnsi="宋体" w:hint="default"/>
        </w:rPr>
        <w:t>甲方（发包人）：</w:t>
      </w:r>
      <w:r>
        <w:rPr>
          <w:color w:val="auto"/>
          <w:position w:val="0"/>
          <w:sz w:val="24"/>
          <w:szCs w:val="24"/>
          <w:u w:val="single"/>
          <w:rFonts w:ascii="宋体" w:eastAsia="宋体" w:hAnsi="宋体" w:hint="default"/>
        </w:rPr>
        <w:t xml:space="preserve">                                                                 </w:t>
      </w:r>
    </w:p>
    <w:p>
      <w:pPr>
        <w:numPr>
          <w:ilvl w:val="0"/>
          <w:numId w:val="0"/>
        </w:numPr>
        <w:jc w:val="left"/>
        <w:spacing w:lineRule="exact" w:line="410" w:before="0" w:after="200"/>
        <w:ind w:right="0" w:firstLine="482"/>
        <w:rPr>
          <w:b w:val="1"/>
          <w:color w:val="auto"/>
          <w:position w:val="0"/>
          <w:sz w:val="24"/>
          <w:szCs w:val="24"/>
          <w:u w:val="single"/>
          <w:rFonts w:ascii="宋体" w:eastAsia="宋体" w:hAnsi="宋体" w:hint="default"/>
        </w:rPr>
        <w:snapToGrid w:val="off"/>
        <w:autoSpaceDE w:val="1"/>
        <w:autoSpaceDN w:val="1"/>
      </w:pPr>
      <w:r>
        <w:rPr>
          <w:b w:val="1"/>
          <w:color w:val="auto"/>
          <w:position w:val="0"/>
          <w:sz w:val="24"/>
          <w:szCs w:val="24"/>
          <w:rFonts w:ascii="宋体" w:eastAsia="宋体" w:hAnsi="宋体" w:hint="default"/>
        </w:rPr>
        <w:t>乙方（承包人）：</w:t>
      </w:r>
      <w:r>
        <w:rPr>
          <w:color w:val="auto"/>
          <w:position w:val="0"/>
          <w:sz w:val="24"/>
          <w:szCs w:val="24"/>
          <w:u w:val="single"/>
          <w:rFonts w:ascii="宋体" w:eastAsia="宋体" w:hAnsi="宋体" w:hint="default"/>
        </w:rPr>
        <w:t xml:space="preserve">                                                                 </w:t>
      </w:r>
    </w:p>
    <w:p>
      <w:pPr>
        <w:numPr>
          <w:ilvl w:val="0"/>
          <w:numId w:val="0"/>
        </w:numPr>
        <w:jc w:val="left"/>
        <w:spacing w:lineRule="exact" w:line="410" w:before="0" w:after="200"/>
        <w:ind w:right="0" w:firstLine="482"/>
        <w:rPr>
          <w:b w:val="1"/>
          <w:color w:val="auto"/>
          <w:position w:val="0"/>
          <w:sz w:val="24"/>
          <w:szCs w:val="24"/>
          <w:rFonts w:ascii="宋体" w:eastAsia="宋体" w:hAnsi="宋体" w:hint="default"/>
        </w:rPr>
        <w:snapToGrid w:val="off"/>
        <w:autoSpaceDE w:val="1"/>
        <w:autoSpaceDN w:val="1"/>
      </w:pPr>
      <w:r>
        <w:rPr>
          <w:b w:val="1"/>
          <w:color w:val="auto"/>
          <w:position w:val="0"/>
          <w:sz w:val="24"/>
          <w:szCs w:val="24"/>
          <w:rFonts w:ascii="宋体" w:eastAsia="宋体" w:hAnsi="宋体" w:hint="default"/>
        </w:rPr>
        <w:t>工程项目名称：</w:t>
      </w:r>
      <w:r>
        <w:rPr>
          <w:color w:val="auto"/>
          <w:position w:val="0"/>
          <w:sz w:val="24"/>
          <w:szCs w:val="24"/>
          <w:u w:val="single"/>
          <w:rFonts w:ascii="宋体" w:eastAsia="宋体" w:hAnsi="宋体" w:hint="default"/>
        </w:rPr>
        <w:t xml:space="preserve">                                                                  </w:t>
      </w:r>
    </w:p>
    <w:p>
      <w:pPr>
        <w:numPr>
          <w:ilvl w:val="0"/>
          <w:numId w:val="0"/>
        </w:numPr>
        <w:jc w:val="left"/>
        <w:spacing w:lineRule="exact" w:line="410" w:before="0" w:after="200"/>
        <w:ind w:right="0" w:firstLine="482"/>
        <w:rPr>
          <w:b w:val="1"/>
          <w:color w:val="auto"/>
          <w:position w:val="0"/>
          <w:sz w:val="24"/>
          <w:szCs w:val="24"/>
          <w:rFonts w:ascii="新宋体" w:eastAsia="新宋体" w:hAnsi="新宋体" w:hint="default"/>
        </w:rPr>
        <w:snapToGrid w:val="off"/>
        <w:autoSpaceDE w:val="1"/>
        <w:autoSpaceDN w:val="1"/>
      </w:pPr>
      <w:r>
        <w:rPr>
          <w:b w:val="1"/>
          <w:color w:val="auto"/>
          <w:position w:val="0"/>
          <w:sz w:val="24"/>
          <w:szCs w:val="24"/>
          <w:rFonts w:ascii="宋体" w:eastAsia="宋体" w:hAnsi="宋体" w:hint="default"/>
        </w:rPr>
        <w:t>工程项目地址：</w:t>
      </w:r>
      <w:r>
        <w:rPr>
          <w:color w:val="auto"/>
          <w:position w:val="0"/>
          <w:sz w:val="24"/>
          <w:szCs w:val="24"/>
          <w:u w:val="single"/>
          <w:rFonts w:ascii="宋体" w:eastAsia="宋体" w:hAnsi="宋体" w:hint="default"/>
        </w:rPr>
        <w:t xml:space="preserve">                                                    </w:t>
      </w:r>
      <w:r>
        <w:rPr>
          <w:color w:val="auto"/>
          <w:position w:val="0"/>
          <w:sz w:val="24"/>
          <w:szCs w:val="24"/>
          <w:u w:val="single"/>
          <w:rFonts w:ascii="新宋体" w:eastAsia="新宋体" w:hAnsi="新宋体" w:hint="default"/>
        </w:rPr>
        <w:t xml:space="preserve">              </w:t>
      </w:r>
    </w:p>
    <w:p>
      <w:pPr>
        <w:numPr>
          <w:ilvl w:val="0"/>
          <w:numId w:val="0"/>
        </w:numPr>
        <w:jc w:val="both"/>
        <w:spacing w:lineRule="auto" w:line="360" w:before="0" w:after="0"/>
        <w:ind w:right="0" w:firstLine="480"/>
        <w:tabs>
          <w:tab w:val="left" w:pos="360"/>
          <w:tab w:val="left" w:pos="540"/>
        </w:tabs>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为加强廉洁建设，规范承发包双方的活动，防止发生各种谋取不正当利益</w:t>
      </w:r>
      <w:r>
        <w:rPr>
          <w:color w:val="auto"/>
          <w:position w:val="0"/>
          <w:sz w:val="24"/>
          <w:szCs w:val="24"/>
          <w:rFonts w:ascii="仿宋" w:eastAsia="仿宋" w:hAnsi="仿宋" w:hint="default"/>
        </w:rPr>
        <w:t>的违法违纪行为，保护当事人的合法权益，根据省政府第308号令的有关规定，</w:t>
      </w:r>
      <w:r>
        <w:rPr>
          <w:color w:val="auto"/>
          <w:position w:val="0"/>
          <w:sz w:val="24"/>
          <w:szCs w:val="24"/>
          <w:rFonts w:ascii="仿宋" w:eastAsia="仿宋" w:hAnsi="仿宋" w:hint="default"/>
        </w:rPr>
        <w:t>由甲方与乙方订立本协议书。</w:t>
      </w:r>
    </w:p>
    <w:p>
      <w:pPr>
        <w:numPr>
          <w:ilvl w:val="0"/>
          <w:numId w:val="0"/>
        </w:numPr>
        <w:jc w:val="both"/>
        <w:spacing w:lineRule="auto" w:line="360" w:before="0" w:after="0"/>
        <w:ind w:right="0" w:firstLine="482"/>
        <w:tabs>
          <w:tab w:val="left" w:pos="360"/>
          <w:tab w:val="left" w:pos="540"/>
        </w:tabs>
        <w:rPr>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第一条  甲乙双方责任</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（一）严格遵守国家法律法规和省政府第308号令的有关规定。</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（二）严格执行一切合同文件，自觉按合同办事。</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（三）双方的业务活动坚持公平、公开、公正和诚信的原则（法律法规另有</w:t>
      </w:r>
      <w:r>
        <w:rPr>
          <w:color w:val="auto"/>
          <w:position w:val="0"/>
          <w:sz w:val="24"/>
          <w:szCs w:val="24"/>
          <w:rFonts w:ascii="仿宋" w:eastAsia="仿宋" w:hAnsi="仿宋" w:hint="default"/>
        </w:rPr>
        <w:t>规定除外），不得损害国家、集体和对方利益，不得违反工程建设管理规章制度。</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（四）建立健全廉洁制度，开展廉洁教育，设立廉洁告示牌，公布举报电</w:t>
      </w:r>
      <w:r>
        <w:rPr>
          <w:color w:val="auto"/>
          <w:position w:val="0"/>
          <w:sz w:val="24"/>
          <w:szCs w:val="24"/>
          <w:rFonts w:ascii="仿宋" w:eastAsia="仿宋" w:hAnsi="仿宋" w:hint="default"/>
        </w:rPr>
        <w:t>话，监督并认真查处违法违纪行为。</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（五）发现对方在业务活动中有违反廉洁建设规定的行为，应及时给予提</w:t>
      </w:r>
      <w:r>
        <w:rPr>
          <w:color w:val="auto"/>
          <w:position w:val="0"/>
          <w:sz w:val="24"/>
          <w:szCs w:val="24"/>
          <w:rFonts w:ascii="仿宋" w:eastAsia="仿宋" w:hAnsi="仿宋" w:hint="default"/>
        </w:rPr>
        <w:t>醒和纠正。</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（六）发现对方严重违反廉洁建设的行为，应向其上级部门或纪检、监察等</w:t>
      </w:r>
      <w:r>
        <w:rPr>
          <w:color w:val="auto"/>
          <w:position w:val="0"/>
          <w:sz w:val="24"/>
          <w:szCs w:val="24"/>
          <w:rFonts w:ascii="仿宋" w:eastAsia="仿宋" w:hAnsi="仿宋" w:hint="default"/>
        </w:rPr>
        <w:t>有关机关举报。影响合同履行的，可按合同中关于合同解除的约定处理。</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第二条  甲方责任</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（一）甲方作为工程项目的建设单位，全面负责工程建设的进度、质量和资</w:t>
      </w:r>
      <w:r>
        <w:rPr>
          <w:color w:val="auto"/>
          <w:position w:val="0"/>
          <w:sz w:val="24"/>
          <w:szCs w:val="24"/>
          <w:rFonts w:ascii="仿宋" w:eastAsia="仿宋" w:hAnsi="仿宋" w:hint="default"/>
        </w:rPr>
        <w:t>金管理，认真履行合同规定的甲方责任。</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（二）甲方人员不得索要或接受乙方的财物和其他利益。财物是指现金、有</w:t>
      </w:r>
      <w:r>
        <w:rPr>
          <w:color w:val="auto"/>
          <w:position w:val="0"/>
          <w:sz w:val="24"/>
          <w:szCs w:val="24"/>
          <w:rFonts w:ascii="仿宋" w:eastAsia="仿宋" w:hAnsi="仿宋" w:hint="default"/>
        </w:rPr>
        <w:t>价证券和实物。包括促销费、宣传费、赞助费、科研费、劳务费、咨询费、佣</w:t>
      </w:r>
      <w:r>
        <w:rPr>
          <w:color w:val="auto"/>
          <w:position w:val="0"/>
          <w:sz w:val="24"/>
          <w:szCs w:val="24"/>
          <w:rFonts w:ascii="仿宋" w:eastAsia="仿宋" w:hAnsi="仿宋" w:hint="default"/>
        </w:rPr>
        <w:t>金等，或者予以报销各种费用。其他利益是指提供国内外各种名义的旅游、考察</w:t>
      </w:r>
      <w:r>
        <w:rPr>
          <w:color w:val="auto"/>
          <w:position w:val="0"/>
          <w:sz w:val="24"/>
          <w:szCs w:val="24"/>
          <w:rFonts w:ascii="仿宋" w:eastAsia="仿宋" w:hAnsi="仿宋" w:hint="default"/>
        </w:rPr>
        <w:t>等给付财物以外的其他手段。</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（三）甲方人员不得参加乙方安排的宴请（工作餐除外）和娱乐活动；不</w:t>
      </w:r>
      <w:r>
        <w:rPr>
          <w:color w:val="auto"/>
          <w:position w:val="0"/>
          <w:sz w:val="24"/>
          <w:szCs w:val="24"/>
          <w:rFonts w:ascii="仿宋" w:eastAsia="仿宋" w:hAnsi="仿宋" w:hint="default"/>
        </w:rPr>
        <w:t>得接受乙方提供的通讯工具、交通工具和高档办公用品等。</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（四）甲方人员不得要求或者接受乙方为其住房装修、婚丧嫁娶活动、配偶</w:t>
      </w:r>
      <w:r>
        <w:rPr>
          <w:color w:val="auto"/>
          <w:position w:val="0"/>
          <w:sz w:val="24"/>
          <w:szCs w:val="24"/>
          <w:rFonts w:ascii="仿宋" w:eastAsia="仿宋" w:hAnsi="仿宋" w:hint="default"/>
        </w:rPr>
        <w:t>子女的工作等安排提方便。</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（五）甲方人员及其配偶、子女等亲友不得从事与乙方有关的工程材料设备</w:t>
      </w:r>
      <w:r>
        <w:rPr>
          <w:color w:val="auto"/>
          <w:position w:val="0"/>
          <w:sz w:val="24"/>
          <w:szCs w:val="24"/>
          <w:rFonts w:ascii="仿宋" w:eastAsia="仿宋" w:hAnsi="仿宋" w:hint="default"/>
        </w:rPr>
        <w:t>供应、工程分包、劳务等经济活动。</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（六）甲方人员不得以任何理由向乙方推荐分包单位或推销材料，不得要</w:t>
      </w:r>
      <w:r>
        <w:rPr>
          <w:color w:val="auto"/>
          <w:position w:val="0"/>
          <w:sz w:val="24"/>
          <w:szCs w:val="24"/>
          <w:rFonts w:ascii="仿宋" w:eastAsia="仿宋" w:hAnsi="仿宋" w:hint="default"/>
        </w:rPr>
        <w:t>求乙方购买合同约定以外的材料和设备。</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第三条  乙方责任</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（一）乙方作为工程项目的施工责任主体，严格执行工程建设法律、法规和</w:t>
      </w:r>
      <w:r>
        <w:rPr>
          <w:color w:val="auto"/>
          <w:position w:val="0"/>
          <w:sz w:val="24"/>
          <w:szCs w:val="24"/>
          <w:rFonts w:ascii="仿宋" w:eastAsia="仿宋" w:hAnsi="仿宋" w:hint="default"/>
        </w:rPr>
        <w:t>强制性标准与规范，依照合同负责承担工程建设的进度、质量、资金控制。</w:t>
      </w:r>
    </w:p>
    <w:p>
      <w:pPr>
        <w:numPr>
          <w:ilvl w:val="0"/>
          <w:numId w:val="0"/>
        </w:numPr>
        <w:jc w:val="both"/>
        <w:spacing w:lineRule="auto" w:line="360" w:before="0" w:after="0"/>
        <w:ind w:right="0" w:firstLine="480"/>
        <w:tabs>
          <w:tab w:val="left" w:pos="360"/>
        </w:tabs>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（二）乙方不得以任何理由向甲方人员给付财物和其他利益。财物是指现金</w:t>
      </w:r>
      <w:r>
        <w:rPr>
          <w:color w:val="auto"/>
          <w:position w:val="0"/>
          <w:sz w:val="24"/>
          <w:szCs w:val="24"/>
          <w:rFonts w:ascii="仿宋" w:eastAsia="仿宋" w:hAnsi="仿宋" w:hint="default"/>
        </w:rPr>
        <w:t>、有价证券和实物。包括促销费、宣传费、赞助费、科研费、劳务费、咨询费</w:t>
      </w:r>
      <w:r>
        <w:rPr>
          <w:color w:val="auto"/>
          <w:position w:val="0"/>
          <w:sz w:val="24"/>
          <w:szCs w:val="24"/>
          <w:rFonts w:ascii="仿宋" w:eastAsia="仿宋" w:hAnsi="仿宋" w:hint="default"/>
        </w:rPr>
        <w:t>、佣金等，或者予以报销各种费用。其他利益是指提供国内外各种名义的旅游</w:t>
      </w:r>
      <w:r>
        <w:rPr>
          <w:color w:val="auto"/>
          <w:position w:val="0"/>
          <w:sz w:val="24"/>
          <w:szCs w:val="24"/>
          <w:rFonts w:ascii="仿宋" w:eastAsia="仿宋" w:hAnsi="仿宋" w:hint="default"/>
        </w:rPr>
        <w:t>、考察等给付财物以外的其他手段。</w:t>
      </w:r>
    </w:p>
    <w:p>
      <w:pPr>
        <w:numPr>
          <w:ilvl w:val="0"/>
          <w:numId w:val="0"/>
        </w:numPr>
        <w:jc w:val="both"/>
        <w:spacing w:lineRule="auto" w:line="360" w:before="0" w:after="0"/>
        <w:ind w:right="0" w:firstLine="480"/>
        <w:tabs>
          <w:tab w:val="left" w:pos="540"/>
        </w:tabs>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（三）乙方不得以任何理由安排甲方人员参加宴请（工作餐除外）及娱乐</w:t>
      </w:r>
      <w:r>
        <w:rPr>
          <w:color w:val="auto"/>
          <w:position w:val="0"/>
          <w:sz w:val="24"/>
          <w:szCs w:val="24"/>
          <w:rFonts w:ascii="仿宋" w:eastAsia="仿宋" w:hAnsi="仿宋" w:hint="default"/>
        </w:rPr>
        <w:t>活动，提供通讯工具、交通工具和高档办公用品。</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（四）乙方不向甲方人员的住房装修、婚丧嫁娶活动、配偶子女工作等安排</w:t>
      </w:r>
      <w:r>
        <w:rPr>
          <w:color w:val="auto"/>
          <w:position w:val="0"/>
          <w:sz w:val="24"/>
          <w:szCs w:val="24"/>
          <w:rFonts w:ascii="仿宋" w:eastAsia="仿宋" w:hAnsi="仿宋" w:hint="default"/>
        </w:rPr>
        <w:t>提供便利。</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（五）乙方不接受甲方人员及其配偶、子女等亲友从事或明示、暗示干涉工</w:t>
      </w:r>
      <w:r>
        <w:rPr>
          <w:color w:val="auto"/>
          <w:position w:val="0"/>
          <w:sz w:val="24"/>
          <w:szCs w:val="24"/>
          <w:rFonts w:ascii="仿宋" w:eastAsia="仿宋" w:hAnsi="仿宋" w:hint="default"/>
        </w:rPr>
        <w:t>程材料设备供应、工程分包、劳务等经济活动的要求。</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第四条  违约责任</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（一）甲方人员违反本协议第一条和第二条规定的，按照管理权限，依据</w:t>
      </w:r>
      <w:r>
        <w:rPr>
          <w:color w:val="auto"/>
          <w:position w:val="0"/>
          <w:sz w:val="24"/>
          <w:szCs w:val="24"/>
          <w:rFonts w:ascii="仿宋" w:eastAsia="仿宋" w:hAnsi="仿宋" w:hint="default"/>
        </w:rPr>
        <w:t>有关法律和规定给予党纪、政纪处分或组织处理，涉嫌犯罪的，移交司法机关追</w:t>
      </w:r>
      <w:r>
        <w:rPr>
          <w:color w:val="auto"/>
          <w:position w:val="0"/>
          <w:sz w:val="24"/>
          <w:szCs w:val="24"/>
          <w:rFonts w:ascii="仿宋" w:eastAsia="仿宋" w:hAnsi="仿宋" w:hint="default"/>
        </w:rPr>
        <w:t>究刑事责任；给乙方造成经济损失的，应予赔偿全部经济损失。</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（二）乙方人员违反本协议第一条和第三条规定的，按照管理权限，依据</w:t>
      </w:r>
      <w:r>
        <w:rPr>
          <w:color w:val="auto"/>
          <w:position w:val="0"/>
          <w:sz w:val="24"/>
          <w:szCs w:val="24"/>
          <w:rFonts w:ascii="仿宋" w:eastAsia="仿宋" w:hAnsi="仿宋" w:hint="default"/>
        </w:rPr>
        <w:t>有关法律和规定给予党纪、政纪处分或组织处理，涉嫌犯罪的，移交司法机关追</w:t>
      </w:r>
      <w:r>
        <w:rPr>
          <w:color w:val="auto"/>
          <w:position w:val="0"/>
          <w:sz w:val="24"/>
          <w:szCs w:val="24"/>
          <w:rFonts w:ascii="仿宋" w:eastAsia="仿宋" w:hAnsi="仿宋" w:hint="default"/>
        </w:rPr>
        <w:t>究刑事责任；给甲方造成经济损失的，应予全额赔偿经济损失。</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第五条  协议生效</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本协议的有效期，自双方签署之日起至该工程竣工验收合格之日止。</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第六条  协议法律效力</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本协议书作为工程施工合同的附件，与施工合同具有同等的法律效力，经</w:t>
      </w:r>
      <w:r>
        <w:rPr>
          <w:color w:val="auto"/>
          <w:position w:val="0"/>
          <w:sz w:val="24"/>
          <w:szCs w:val="24"/>
          <w:rFonts w:ascii="仿宋" w:eastAsia="仿宋" w:hAnsi="仿宋" w:hint="default"/>
        </w:rPr>
        <w:t>双方签署后生效。</w:t>
      </w:r>
    </w:p>
    <w:p>
      <w:pPr>
        <w:numPr>
          <w:ilvl w:val="0"/>
          <w:numId w:val="0"/>
        </w:numPr>
        <w:jc w:val="both"/>
        <w:spacing w:lineRule="auto" w:line="360" w:before="0" w:after="0"/>
        <w:ind w:right="0" w:firstLine="482"/>
        <w:tabs>
          <w:tab w:val="left" w:pos="360"/>
          <w:tab w:val="left" w:pos="540"/>
        </w:tabs>
        <w:rPr>
          <w:b w:val="1"/>
          <w:color w:val="auto"/>
          <w:position w:val="0"/>
          <w:sz w:val="24"/>
          <w:szCs w:val="24"/>
          <w:rFonts w:ascii="仿宋" w:eastAsia="仿宋" w:hAnsi="仿宋" w:hint="default"/>
        </w:rPr>
        <w:snapToGrid w:val="off"/>
        <w:autoSpaceDE w:val="1"/>
        <w:autoSpaceDN w:val="1"/>
      </w:pPr>
      <w:r>
        <w:rPr>
          <w:b w:val="1"/>
          <w:color w:val="auto"/>
          <w:position w:val="0"/>
          <w:sz w:val="24"/>
          <w:szCs w:val="24"/>
          <w:rFonts w:ascii="仿宋" w:eastAsia="仿宋" w:hAnsi="仿宋" w:hint="default"/>
        </w:rPr>
        <w:t xml:space="preserve">第七条  协议份数</w:t>
      </w:r>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本协议一式 </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份，双方各执</w:t>
      </w:r>
      <w:r>
        <w:rPr>
          <w:color w:val="auto"/>
          <w:position w:val="0"/>
          <w:sz w:val="24"/>
          <w:szCs w:val="24"/>
          <w:u w:val="single"/>
          <w:rFonts w:ascii="仿宋" w:eastAsia="仿宋" w:hAnsi="仿宋" w:hint="default"/>
        </w:rPr>
        <w:t xml:space="preserve">        </w:t>
      </w:r>
      <w:r>
        <w:rPr>
          <w:color w:val="auto"/>
          <w:position w:val="0"/>
          <w:sz w:val="24"/>
          <w:szCs w:val="24"/>
          <w:rFonts w:ascii="仿宋" w:eastAsia="仿宋" w:hAnsi="仿宋" w:hint="default"/>
        </w:rPr>
        <w:t>份。在签订后与工程建设合同一</w:t>
      </w:r>
      <w:r>
        <w:rPr>
          <w:color w:val="auto"/>
          <w:position w:val="0"/>
          <w:sz w:val="24"/>
          <w:szCs w:val="24"/>
          <w:rFonts w:ascii="仿宋" w:eastAsia="仿宋" w:hAnsi="仿宋" w:hint="default"/>
        </w:rPr>
        <w:t>并送工程所在地建设行政主管部门或其指定（委托）的部门（机构）备案一份。</w:t>
      </w:r>
    </w:p>
    <w:p>
      <w:pPr>
        <w:numPr>
          <w:ilvl w:val="0"/>
          <w:numId w:val="0"/>
        </w:numPr>
        <w:jc w:val="both"/>
        <w:spacing w:lineRule="auto" w:line="360" w:before="120" w:after="120"/>
        <w:ind w:right="0" w:firstLine="478"/>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甲方（公章）：                           乙方（公章）：</w:t>
      </w:r>
    </w:p>
    <w:p>
      <w:pPr>
        <w:numPr>
          <w:ilvl w:val="0"/>
          <w:numId w:val="0"/>
        </w:numPr>
        <w:jc w:val="both"/>
        <w:spacing w:lineRule="auto" w:line="360" w:before="120" w:after="120"/>
        <w:ind w:right="0" w:firstLine="478"/>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地      址：                            地      址：</w:t>
      </w:r>
    </w:p>
    <w:p>
      <w:pPr>
        <w:numPr>
          <w:ilvl w:val="0"/>
          <w:numId w:val="0"/>
        </w:numPr>
        <w:jc w:val="both"/>
        <w:spacing w:lineRule="auto" w:line="360" w:before="120" w:after="120"/>
        <w:ind w:right="0" w:firstLine="478"/>
        <w:tabs>
          <w:tab w:val="left" w:pos="525"/>
          <w:tab w:val="left" w:pos="1155"/>
        </w:tabs>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法定代表人：                            法定代表人：</w:t>
      </w:r>
    </w:p>
    <w:p>
      <w:pPr>
        <w:numPr>
          <w:ilvl w:val="0"/>
          <w:numId w:val="0"/>
        </w:numPr>
        <w:jc w:val="both"/>
        <w:spacing w:lineRule="auto" w:line="360" w:before="120" w:after="120"/>
        <w:ind w:right="0" w:firstLine="478"/>
        <w:tabs>
          <w:tab w:val="left" w:pos="0"/>
          <w:tab w:val="left" w:pos="1155"/>
        </w:tabs>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委托代理人：                            委托代理人：</w:t>
      </w:r>
    </w:p>
    <w:p>
      <w:pPr>
        <w:numPr>
          <w:ilvl w:val="0"/>
          <w:numId w:val="0"/>
        </w:numPr>
        <w:jc w:val="both"/>
        <w:spacing w:lineRule="auto" w:line="360" w:before="0" w:after="0"/>
        <w:ind w:right="0" w:firstLine="1560"/>
        <w:rPr>
          <w:b w:val="1"/>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 xml:space="preserve">年   月   日                            年   月   日</w:t>
      </w: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p>
    <w:p>
      <w:pPr>
        <w:pStyle w:val="PO8"/>
        <w:numPr>
          <w:ilvl w:val="0"/>
          <w:numId w:val="0"/>
        </w:numPr>
        <w:jc w:val="left"/>
        <w:spacing w:lineRule="auto" w:line="415" w:before="260" w:after="260"/>
        <w:ind w:right="0" w:firstLine="0"/>
        <w:rPr>
          <w:b w:val="1"/>
          <w:color w:val="auto"/>
          <w:position w:val="0"/>
          <w:sz w:val="28"/>
          <w:szCs w:val="28"/>
          <w:rFonts w:ascii="宋体" w:eastAsia="Times New Roman" w:hAnsi="Times New Roman" w:hint="default"/>
        </w:rPr>
        <w:outlineLvl w:val="1"/>
        <w:snapToGrid w:val="off"/>
        <w:autoSpaceDE w:val="1"/>
        <w:autoSpaceDN w:val="1"/>
      </w:pPr>
      <w:bookmarkStart w:id="586" w:name="_Toc504125544"/>
      <w:r>
        <w:rPr>
          <w:b w:val="1"/>
          <w:color w:val="auto"/>
          <w:position w:val="0"/>
          <w:sz w:val="28"/>
          <w:szCs w:val="28"/>
          <w:rFonts w:ascii="宋体" w:eastAsia="宋体" w:hAnsi="宋体" w:hint="default"/>
        </w:rPr>
        <w:t>附件二：工程结算资料编制质量要求</w:t>
      </w:r>
      <w:bookmarkEnd w:id="586"/>
    </w:p>
    <w:p>
      <w:pPr>
        <w:numPr>
          <w:ilvl w:val="0"/>
          <w:numId w:val="0"/>
        </w:numPr>
        <w:jc w:val="both"/>
        <w:spacing w:lineRule="auto" w:line="360" w:before="0" w:after="0"/>
        <w:ind w:right="0" w:firstLine="48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承包人本着诚实信用、实事求是的原则编制并报审工程结算资料，对工程结</w:t>
      </w:r>
      <w:r>
        <w:rPr>
          <w:color w:val="auto"/>
          <w:position w:val="0"/>
          <w:sz w:val="24"/>
          <w:szCs w:val="24"/>
          <w:rFonts w:ascii="仿宋" w:eastAsia="仿宋" w:hAnsi="仿宋" w:hint="default"/>
        </w:rPr>
        <w:t>算编制质量负责。若承包人提供虚假资料如虚列施工项目及内容、虚假购货发票</w:t>
      </w:r>
      <w:r>
        <w:rPr>
          <w:color w:val="auto"/>
          <w:position w:val="0"/>
          <w:sz w:val="24"/>
          <w:szCs w:val="24"/>
          <w:rFonts w:ascii="仿宋" w:eastAsia="仿宋" w:hAnsi="仿宋" w:hint="default"/>
        </w:rPr>
        <w:t>等，经查证属实的，扣除其提供虚假资料的同等金额外，还将纳入其资源市场</w:t>
      </w:r>
      <w:r>
        <w:rPr>
          <w:color w:val="auto"/>
          <w:position w:val="0"/>
          <w:sz w:val="24"/>
          <w:szCs w:val="24"/>
          <w:rFonts w:ascii="仿宋" w:eastAsia="仿宋" w:hAnsi="仿宋" w:hint="default"/>
        </w:rPr>
        <w:t>资质的考核。</w:t>
      </w:r>
    </w:p>
    <w:p>
      <w:pPr>
        <w:numPr>
          <w:ilvl w:val="0"/>
          <w:numId w:val="0"/>
        </w:numPr>
        <w:jc w:val="left"/>
        <w:spacing w:lineRule="auto" w:line="360" w:before="0" w:after="0"/>
        <w:ind w:right="0" w:firstLine="360"/>
        <w:rPr>
          <w:color w:val="auto"/>
          <w:position w:val="0"/>
          <w:sz w:val="24"/>
          <w:szCs w:val="24"/>
          <w:rFonts w:ascii="仿宋" w:eastAsia="仿宋" w:hAnsi="仿宋" w:hint="default"/>
        </w:rPr>
        <w:snapToGrid w:val="off"/>
        <w:autoSpaceDE w:val="1"/>
        <w:autoSpaceDN w:val="1"/>
      </w:pPr>
      <w:r>
        <w:rPr>
          <w:color w:val="auto"/>
          <w:position w:val="0"/>
          <w:sz w:val="24"/>
          <w:szCs w:val="24"/>
          <w:rFonts w:ascii="仿宋" w:eastAsia="仿宋" w:hAnsi="仿宋" w:hint="default"/>
        </w:rPr>
        <w:t>（1）工程结算综合审减率{（承包人报审金额-造价咨询机构审定金额）/承</w:t>
      </w:r>
      <w:r>
        <w:rPr>
          <w:color w:val="auto"/>
          <w:position w:val="0"/>
          <w:sz w:val="24"/>
          <w:szCs w:val="24"/>
          <w:rFonts w:ascii="仿宋" w:eastAsia="仿宋" w:hAnsi="仿宋" w:hint="default"/>
        </w:rPr>
        <w:t>包人报审金额}不超过5%（不含5%），审核费用由发包人承担；综合审减率大</w:t>
      </w:r>
      <w:r>
        <w:rPr>
          <w:color w:val="auto"/>
          <w:position w:val="0"/>
          <w:sz w:val="24"/>
          <w:szCs w:val="24"/>
          <w:rFonts w:ascii="仿宋" w:eastAsia="仿宋" w:hAnsi="仿宋" w:hint="default"/>
        </w:rPr>
        <w:t>于5%（含5%）的，按总审减额（内审审减额与外审审减额之和）的8%和审计</w:t>
      </w:r>
      <w:r>
        <w:rPr>
          <w:color w:val="auto"/>
          <w:position w:val="0"/>
          <w:sz w:val="24"/>
          <w:szCs w:val="24"/>
          <w:rFonts w:ascii="仿宋" w:eastAsia="仿宋" w:hAnsi="仿宋" w:hint="default"/>
        </w:rPr>
        <w:t>基本费支付审计费，审核费用全部由承包人承担，由发包人直接从工程结算款</w:t>
      </w:r>
      <w:r>
        <w:rPr>
          <w:color w:val="auto"/>
          <w:position w:val="0"/>
          <w:sz w:val="24"/>
          <w:szCs w:val="24"/>
          <w:rFonts w:ascii="仿宋" w:eastAsia="仿宋" w:hAnsi="仿宋" w:hint="default"/>
        </w:rPr>
        <w:t>中扣除。</w:t>
      </w:r>
    </w:p>
    <w:p>
      <w:pPr>
        <w:numPr>
          <w:ilvl w:val="0"/>
          <w:numId w:val="0"/>
        </w:numPr>
        <w:jc w:val="left"/>
        <w:spacing w:lineRule="auto" w:line="360" w:before="0" w:after="0"/>
        <w:ind w:right="0" w:firstLine="360"/>
        <w:rPr>
          <w:color w:val="auto"/>
          <w:position w:val="0"/>
          <w:sz w:val="24"/>
          <w:szCs w:val="24"/>
          <w:rFonts w:ascii="仿宋" w:eastAsia="Times New Roman" w:hAnsi="Times New Roman" w:hint="default"/>
        </w:rPr>
        <w:snapToGrid w:val="off"/>
        <w:autoSpaceDE w:val="1"/>
        <w:autoSpaceDN w:val="1"/>
      </w:pPr>
      <w:r>
        <w:rPr>
          <w:color w:val="auto"/>
          <w:position w:val="0"/>
          <w:sz w:val="24"/>
          <w:szCs w:val="24"/>
          <w:rFonts w:ascii="仿宋" w:eastAsia="仿宋" w:hAnsi="仿宋" w:hint="default"/>
        </w:rPr>
        <w:t>（2）</w:t>
      </w:r>
    </w:p>
    <w:tbl>
      <w:tblPr>
        <w:tblStyle w:val="PO37"/>
        <w:tblCellMar>
          <w:left w:w="108" w:type="dxa"/>
          <w:top w:w="0" w:type="dxa"/>
          <w:right w:w="108" w:type="dxa"/>
          <w:bottom w:w="0" w:type="dxa"/>
        </w:tblCellMar>
        <w:tblW w:w="0" w:type="auto"/>
        <w:tblLook w:val="0004A0" w:firstRow="1" w:lastRow="0" w:firstColumn="1" w:lastColumn="0" w:noHBand="0" w:noVBand="1"/>
        <w:tblLayout w:type="auto"/>
      </w:tblPr>
      <w:tblGrid>
        <w:gridCol w:w="728"/>
        <w:gridCol w:w="2835"/>
        <w:gridCol w:w="3118"/>
        <w:gridCol w:w="925"/>
      </w:tblGrid>
      <w:tr>
        <w:trPr/>
        <w:tc>
          <w:tcPr>
            <w:tcW w:type="dxa" w:w="72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序号</w:t>
            </w:r>
          </w:p>
        </w:tc>
        <w:tc>
          <w:tcPr>
            <w:tcW w:type="dxa" w:w="283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工程结算综合审减率（x）</w:t>
            </w:r>
          </w:p>
        </w:tc>
        <w:tc>
          <w:tcPr>
            <w:tcW w:type="dxa" w:w="311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扣减工程结算审定额比例（y）</w:t>
            </w:r>
          </w:p>
        </w:tc>
        <w:tc>
          <w:tcPr>
            <w:tcW w:type="dxa" w:w="92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备注</w:t>
            </w:r>
          </w:p>
        </w:tc>
      </w:tr>
      <w:tr>
        <w:trPr/>
        <w:tc>
          <w:tcPr>
            <w:tcW w:type="dxa" w:w="72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1</w:t>
            </w:r>
          </w:p>
        </w:tc>
        <w:tc>
          <w:tcPr>
            <w:tcW w:type="dxa" w:w="2835"/>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x＜20%</w:t>
            </w:r>
          </w:p>
        </w:tc>
        <w:tc>
          <w:tcPr>
            <w:tcW w:type="dxa" w:w="3118"/>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不扣减</w:t>
            </w:r>
          </w:p>
        </w:tc>
        <w:tc>
          <w:tcPr>
            <w:tcW w:type="dxa" w:w="92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p>
        </w:tc>
      </w:tr>
      <w:tr>
        <w:trPr/>
        <w:tc>
          <w:tcPr>
            <w:tcW w:type="dxa" w:w="72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2</w:t>
            </w:r>
          </w:p>
        </w:tc>
        <w:tc>
          <w:tcPr>
            <w:tcW w:type="dxa" w:w="2835"/>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20%≤x＜30%</w:t>
            </w:r>
          </w:p>
        </w:tc>
        <w:tc>
          <w:tcPr>
            <w:tcW w:type="dxa" w:w="3118"/>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w:t>
            </w:r>
          </w:p>
        </w:tc>
        <w:tc>
          <w:tcPr>
            <w:tcW w:type="dxa" w:w="92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p>
        </w:tc>
      </w:tr>
      <w:tr>
        <w:trPr/>
        <w:tc>
          <w:tcPr>
            <w:tcW w:type="dxa" w:w="72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3</w:t>
            </w:r>
          </w:p>
        </w:tc>
        <w:tc>
          <w:tcPr>
            <w:tcW w:type="dxa" w:w="2835"/>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30%≤x＜40%</w:t>
            </w:r>
          </w:p>
        </w:tc>
        <w:tc>
          <w:tcPr>
            <w:tcW w:type="dxa" w:w="3118"/>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5%</w:t>
            </w:r>
          </w:p>
        </w:tc>
        <w:tc>
          <w:tcPr>
            <w:tcW w:type="dxa" w:w="92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p>
        </w:tc>
      </w:tr>
      <w:tr>
        <w:trPr/>
        <w:tc>
          <w:tcPr>
            <w:tcW w:type="dxa" w:w="728"/>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r>
              <w:rPr>
                <w:color w:val="auto"/>
                <w:position w:val="0"/>
                <w:sz w:val="21"/>
                <w:szCs w:val="21"/>
                <w:rFonts w:ascii="仿宋" w:eastAsia="仿宋" w:hAnsi="仿宋" w:hint="default"/>
              </w:rPr>
              <w:t>4</w:t>
            </w:r>
          </w:p>
        </w:tc>
        <w:tc>
          <w:tcPr>
            <w:tcW w:type="dxa" w:w="2835"/>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40%≤x</w:t>
            </w:r>
          </w:p>
        </w:tc>
        <w:tc>
          <w:tcPr>
            <w:tcW w:type="dxa" w:w="3118"/>
            <w:vAlign w:val="center"/>
          </w:tcPr>
          <w:p>
            <w:pPr>
              <w:numPr>
                <w:ilvl w:val="0"/>
                <w:numId w:val="0"/>
              </w:numPr>
              <w:jc w:val="center"/>
              <w:spacing w:lineRule="auto" w:line="360" w:before="0" w:after="0"/>
              <w:ind w:right="0" w:firstLine="0"/>
              <w:rPr>
                <w:color w:val="auto"/>
                <w:position w:val="0"/>
                <w:sz w:val="21"/>
                <w:szCs w:val="21"/>
                <w:rFonts w:ascii="仿宋" w:eastAsia="仿宋" w:hAnsi="仿宋" w:hint="default"/>
              </w:rPr>
              <w:snapToGrid w:val="off"/>
              <w:autoSpaceDE w:val="1"/>
              <w:autoSpaceDN w:val="1"/>
            </w:pPr>
            <w:r>
              <w:rPr>
                <w:color w:val="auto"/>
                <w:position w:val="0"/>
                <w:sz w:val="21"/>
                <w:szCs w:val="21"/>
                <w:rFonts w:ascii="仿宋" w:eastAsia="仿宋" w:hAnsi="仿宋" w:hint="default"/>
              </w:rPr>
              <w:t>8%</w:t>
            </w:r>
          </w:p>
        </w:tc>
        <w:tc>
          <w:tcPr>
            <w:tcW w:type="dxa" w:w="925"/>
            <w:vAlign w:val="center"/>
          </w:tcPr>
          <w:p>
            <w:pPr>
              <w:numPr>
                <w:ilvl w:val="0"/>
                <w:numId w:val="0"/>
              </w:numPr>
              <w:jc w:val="center"/>
              <w:spacing w:lineRule="auto" w:line="360" w:before="0" w:after="0"/>
              <w:ind w:right="0" w:firstLine="0"/>
              <w:rPr>
                <w:color w:val="auto"/>
                <w:position w:val="0"/>
                <w:sz w:val="21"/>
                <w:szCs w:val="21"/>
                <w:rFonts w:ascii="仿宋" w:eastAsia="Times New Roman" w:hAnsi="Times New Roman" w:hint="default"/>
              </w:rPr>
              <w:snapToGrid w:val="off"/>
              <w:autoSpaceDE w:val="1"/>
              <w:autoSpaceDN w:val="1"/>
            </w:pPr>
          </w:p>
        </w:tc>
      </w:tr>
    </w:tbl>
    <w:p>
      <w:pPr>
        <w:numPr>
          <w:ilvl w:val="0"/>
          <w:numId w:val="0"/>
        </w:numPr>
        <w:jc w:val="left"/>
        <w:spacing w:lineRule="atLeast" w:line="220" w:before="0" w:after="200"/>
        <w:ind w:right="0" w:firstLine="0"/>
        <w:rPr>
          <w:color w:val="auto"/>
          <w:position w:val="0"/>
          <w:sz w:val="32"/>
          <w:szCs w:val="32"/>
          <w:rFonts w:ascii="仿宋" w:eastAsia="仿宋" w:hAnsi="仿宋" w:hint="default"/>
        </w:rPr>
        <w:snapToGrid w:val="off"/>
        <w:autoSpaceDE w:val="1"/>
        <w:autoSpaceDN w:val="1"/>
      </w:pPr>
      <w:r>
        <w:rPr>
          <w:color w:val="auto"/>
          <w:position w:val="0"/>
          <w:sz w:val="24"/>
          <w:szCs w:val="24"/>
          <w:rFonts w:ascii="仿宋" w:eastAsia="仿宋" w:hAnsi="仿宋" w:hint="default"/>
        </w:rPr>
        <w:t>以上第（1）、第（2）条同时使用。</w:t>
      </w:r>
    </w:p>
    <w:p>
      <w:pPr>
        <w:pStyle w:val="PO7"/>
        <w:numPr>
          <w:ilvl w:val="0"/>
          <w:numId w:val="0"/>
        </w:numPr>
        <w:jc w:val="center"/>
        <w:spacing w:lineRule="auto" w:line="576" w:before="340" w:after="330"/>
        <w:ind w:right="0" w:firstLine="0"/>
        <w:rPr>
          <w:b w:val="1"/>
          <w:color w:val="auto"/>
          <w:position w:val="0"/>
          <w:sz w:val="28"/>
          <w:szCs w:val="28"/>
          <w:rFonts w:ascii="宋体" w:eastAsia="宋体" w:hAnsi="宋体" w:hint="default"/>
        </w:rPr>
        <w:outlineLvl w:val="0"/>
        <w:snapToGrid w:val="on"/>
        <w:autoSpaceDE w:val="1"/>
        <w:autoSpaceDN w:val="1"/>
      </w:pPr>
    </w:p>
    <w:p>
      <w:pPr>
        <w:pStyle w:val="PO7"/>
        <w:numPr>
          <w:ilvl w:val="0"/>
          <w:numId w:val="0"/>
        </w:numPr>
        <w:jc w:val="center"/>
        <w:spacing w:lineRule="auto" w:line="576" w:before="340" w:after="330"/>
        <w:ind w:right="0" w:firstLine="0"/>
        <w:rPr>
          <w:b w:val="1"/>
          <w:color w:val="auto"/>
          <w:position w:val="0"/>
          <w:sz w:val="28"/>
          <w:szCs w:val="28"/>
          <w:rFonts w:ascii="宋体" w:eastAsia="宋体" w:hAnsi="宋体" w:hint="default"/>
        </w:rPr>
        <w:outlineLvl w:val="0"/>
        <w:snapToGrid w:val="on"/>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pStyle w:val="PO7"/>
        <w:numPr>
          <w:ilvl w:val="0"/>
          <w:numId w:val="0"/>
        </w:numPr>
        <w:jc w:val="center"/>
        <w:spacing w:lineRule="auto" w:line="576" w:before="340" w:after="330"/>
        <w:ind w:right="0" w:firstLine="0"/>
        <w:rPr>
          <w:b w:val="1"/>
          <w:color w:val="auto"/>
          <w:position w:val="0"/>
          <w:sz w:val="28"/>
          <w:szCs w:val="28"/>
          <w:rFonts w:ascii="宋体" w:eastAsia="宋体" w:hAnsi="宋体" w:hint="default"/>
        </w:rPr>
        <w:outlineLvl w:val="0"/>
        <w:snapToGrid w:val="on"/>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right="0" w:firstLine="0"/>
        <w:rPr>
          <w:color w:val="auto"/>
          <w:position w:val="0"/>
          <w:sz w:val="28"/>
          <w:szCs w:val="28"/>
          <w:rFonts w:ascii="宋体" w:eastAsia="仿宋" w:hAnsi="仿宋" w:hint="default"/>
        </w:rPr>
        <w:snapToGrid w:val="off"/>
        <w:autoSpaceDE w:val="1"/>
        <w:autoSpaceDN w:val="1"/>
      </w:pPr>
      <w:bookmarkStart w:id="587" w:name="_Toc504125545"/>
    </w:p>
    <w:p>
      <w:pPr>
        <w:numPr>
          <w:ilvl w:val="0"/>
          <w:numId w:val="0"/>
        </w:numPr>
        <w:jc w:val="left"/>
        <w:spacing w:lineRule="auto" w:line="240" w:before="0" w:after="200"/>
        <w:ind w:right="0" w:firstLine="0"/>
        <w:rPr>
          <w:b w:val="1"/>
          <w:color w:val="auto"/>
          <w:position w:val="0"/>
          <w:sz w:val="28"/>
          <w:szCs w:val="28"/>
          <w:rFonts w:ascii="宋体" w:eastAsia="仿宋" w:hAnsi="仿宋" w:hint="default"/>
        </w:rPr>
        <w:snapToGrid w:val="off"/>
        <w:autoSpaceDE w:val="1"/>
        <w:autoSpaceDN w:val="1"/>
      </w:pPr>
      <w:r>
        <w:rPr>
          <w:b w:val="1"/>
          <w:color w:val="auto"/>
          <w:position w:val="0"/>
          <w:sz w:val="28"/>
          <w:szCs w:val="28"/>
          <w:rFonts w:ascii="宋体" w:eastAsia="宋体" w:hAnsi="宋体" w:hint="default"/>
        </w:rPr>
        <w:t>附件三：</w:t>
      </w:r>
    </w:p>
    <w:p>
      <w:pPr>
        <w:numPr>
          <w:ilvl w:val="0"/>
          <w:numId w:val="0"/>
        </w:numPr>
        <w:jc w:val="center"/>
        <w:spacing w:lineRule="auto" w:line="240" w:before="0" w:after="200"/>
        <w:ind w:right="0" w:firstLine="0"/>
        <w:rPr>
          <w:color w:val="000000"/>
          <w:position w:val="0"/>
          <w:sz w:val="36"/>
          <w:szCs w:val="36"/>
          <w:rFonts w:ascii="微软雅黑" w:eastAsia="微软雅黑" w:hAnsi="微软雅黑" w:hint="default"/>
        </w:rPr>
        <w:snapToGrid w:val="off"/>
        <w:autoSpaceDE w:val="1"/>
        <w:autoSpaceDN w:val="1"/>
      </w:pPr>
      <w:r>
        <w:rPr>
          <w:color w:val="auto"/>
          <w:position w:val="0"/>
          <w:sz w:val="36"/>
          <w:szCs w:val="36"/>
          <w:rFonts w:ascii="微软雅黑" w:eastAsia="Tahoma" w:hAnsi="Tahoma" w:hint="default"/>
        </w:rPr>
        <w:t>安全生产责任书</w:t>
      </w:r>
    </w:p>
    <w:p>
      <w:pPr>
        <w:numPr>
          <w:ilvl w:val="0"/>
          <w:numId w:val="0"/>
        </w:numPr>
        <w:jc w:val="both"/>
        <w:spacing w:lineRule="auto" w:line="360" w:before="0" w:after="0"/>
        <w:ind w:right="0" w:firstLine="487"/>
        <w:rPr>
          <w:b w:val="1"/>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发包人（全称）：</w:t>
      </w:r>
    </w:p>
    <w:p>
      <w:pPr>
        <w:numPr>
          <w:ilvl w:val="0"/>
          <w:numId w:val="0"/>
        </w:numPr>
        <w:jc w:val="both"/>
        <w:spacing w:lineRule="auto" w:line="360" w:before="0" w:after="0"/>
        <w:ind w:right="0" w:firstLine="487"/>
        <w:rPr>
          <w:b w:val="1"/>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承包人（全称）：</w:t>
      </w:r>
    </w:p>
    <w:p>
      <w:pPr>
        <w:numPr>
          <w:ilvl w:val="0"/>
          <w:numId w:val="0"/>
        </w:numPr>
        <w:jc w:val="both"/>
        <w:spacing w:lineRule="auto" w:line="360" w:before="0" w:after="0"/>
        <w:ind w:right="0" w:firstLine="487"/>
        <w:rPr>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工程项目名称：</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工程项目地址</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为确保</w:t>
      </w:r>
      <w:r>
        <w:rPr>
          <w:color w:val="auto"/>
          <w:position w:val="0"/>
          <w:sz w:val="24"/>
          <w:szCs w:val="24"/>
          <w:u w:val="single"/>
          <w:rFonts w:ascii="仿宋" w:eastAsia="仿宋" w:hAnsi="仿宋" w:hint="default"/>
        </w:rPr>
        <w:t xml:space="preserve"> 小楼门星级厕所改建</w:t>
      </w:r>
      <w:r>
        <w:rPr>
          <w:color w:val="000000"/>
          <w:position w:val="0"/>
          <w:sz w:val="24"/>
          <w:szCs w:val="24"/>
          <w:u w:val="single"/>
          <w:rFonts w:ascii="仿宋" w:eastAsia="仿宋" w:hAnsi="仿宋" w:hint="default"/>
        </w:rPr>
        <w:t>工程</w:t>
      </w:r>
      <w:r>
        <w:rPr>
          <w:color w:val="000000"/>
          <w:position w:val="0"/>
          <w:sz w:val="24"/>
          <w:szCs w:val="24"/>
          <w:rFonts w:ascii="仿宋" w:eastAsia="仿宋" w:hAnsi="仿宋" w:hint="default"/>
        </w:rPr>
        <w:t>施工期间的安全，减少安全事件（故）的</w:t>
      </w:r>
      <w:r>
        <w:rPr>
          <w:color w:val="000000"/>
          <w:position w:val="0"/>
          <w:sz w:val="24"/>
          <w:szCs w:val="24"/>
          <w:rFonts w:ascii="仿宋" w:eastAsia="仿宋" w:hAnsi="仿宋" w:hint="default"/>
        </w:rPr>
        <w:t>发生。根据国家施工安全的有关法规、规定及GJ59-2011《建筑施工安全生产检</w:t>
      </w:r>
      <w:r>
        <w:rPr>
          <w:color w:val="000000"/>
          <w:position w:val="0"/>
          <w:sz w:val="24"/>
          <w:szCs w:val="24"/>
          <w:rFonts w:ascii="仿宋" w:eastAsia="仿宋" w:hAnsi="仿宋" w:hint="default"/>
        </w:rPr>
        <w:t>查标准》，结合本工程项目的实际情况，发包人与承包人签订安全生产责任书。</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一、指导思想</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承包人应教育本企业员工树立起“安全第一，预防为主”的思想意识，强</w:t>
      </w:r>
      <w:r>
        <w:rPr>
          <w:color w:val="000000"/>
          <w:position w:val="0"/>
          <w:sz w:val="24"/>
          <w:szCs w:val="24"/>
          <w:rFonts w:ascii="仿宋" w:eastAsia="仿宋" w:hAnsi="仿宋" w:hint="default"/>
        </w:rPr>
        <w:t>化安全的管理监督，积极开展施工现场安全达标及文明施工活动，努力提高施</w:t>
      </w:r>
      <w:r>
        <w:rPr>
          <w:color w:val="000000"/>
          <w:position w:val="0"/>
          <w:sz w:val="24"/>
          <w:szCs w:val="24"/>
          <w:rFonts w:ascii="仿宋" w:eastAsia="仿宋" w:hAnsi="仿宋" w:hint="default"/>
        </w:rPr>
        <w:t>工队伍的整体安全素质，确保施工现场施工生产的安全。</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二、目标和任务</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1、承包人应成立公司、项目部二级安全领导小组，公司负责人为公司一级的</w:t>
      </w:r>
      <w:r>
        <w:rPr>
          <w:color w:val="000000"/>
          <w:position w:val="0"/>
          <w:sz w:val="24"/>
          <w:szCs w:val="24"/>
          <w:rFonts w:ascii="仿宋" w:eastAsia="仿宋" w:hAnsi="仿宋" w:hint="default"/>
        </w:rPr>
        <w:t>安全责任人，项目经理为项目部的安全责任人。</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2、项目部应设设置专项资金作为安全施工措施费，该项措施费要专款专用，</w:t>
      </w:r>
      <w:r>
        <w:rPr>
          <w:color w:val="000000"/>
          <w:position w:val="0"/>
          <w:sz w:val="24"/>
          <w:szCs w:val="24"/>
          <w:rFonts w:ascii="仿宋" w:eastAsia="仿宋" w:hAnsi="仿宋" w:hint="default"/>
        </w:rPr>
        <w:t>不得移作他用。</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3、项目部要设有专职安全员管理施工现场的安全生产事物，安全员必须持</w:t>
      </w:r>
      <w:r>
        <w:rPr>
          <w:color w:val="000000"/>
          <w:position w:val="0"/>
          <w:sz w:val="24"/>
          <w:szCs w:val="24"/>
          <w:rFonts w:ascii="仿宋" w:eastAsia="仿宋" w:hAnsi="仿宋" w:hint="default"/>
        </w:rPr>
        <w:t>证上岗、专岗专责。</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4、杜绝重伤以上事故、火灾事故、重大设备事故。一般隐患整改率100%</w:t>
      </w:r>
      <w:r>
        <w:rPr>
          <w:color w:val="000000"/>
          <w:position w:val="0"/>
          <w:sz w:val="24"/>
          <w:szCs w:val="24"/>
          <w:rFonts w:ascii="仿宋" w:eastAsia="仿宋" w:hAnsi="仿宋" w:hint="default"/>
        </w:rPr>
        <w:t>以上，重大隐患整改率100%，工人安全教育率达100%，特种作业持证上岗率</w:t>
      </w:r>
      <w:r>
        <w:rPr>
          <w:color w:val="000000"/>
          <w:position w:val="0"/>
          <w:sz w:val="24"/>
          <w:szCs w:val="24"/>
          <w:rFonts w:ascii="仿宋" w:eastAsia="仿宋" w:hAnsi="仿宋" w:hint="default"/>
        </w:rPr>
        <w:t>100%。</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5、专职安全员要做好安全监督检查工作，发现问题及时反馈，协助落实整</w:t>
      </w:r>
      <w:r>
        <w:rPr>
          <w:color w:val="000000"/>
          <w:position w:val="0"/>
          <w:sz w:val="24"/>
          <w:szCs w:val="24"/>
          <w:rFonts w:ascii="仿宋" w:eastAsia="仿宋" w:hAnsi="仿宋" w:hint="default"/>
        </w:rPr>
        <w:t>改措施，及时制止违章指挥及违章作业的行为，作好安全教育及安全宣传工作。</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6、现场电工必须持证上岗，负责对现场用电线路、设备的检查维修，并作好</w:t>
      </w:r>
      <w:r>
        <w:rPr>
          <w:color w:val="000000"/>
          <w:position w:val="0"/>
          <w:sz w:val="24"/>
          <w:szCs w:val="24"/>
          <w:rFonts w:ascii="仿宋" w:eastAsia="仿宋" w:hAnsi="仿宋" w:hint="default"/>
        </w:rPr>
        <w:t>记录，确保机具不带病运转，漏电动作无误。严格按《施工现场临时用电安全技</w:t>
      </w:r>
      <w:r>
        <w:rPr>
          <w:color w:val="000000"/>
          <w:position w:val="0"/>
          <w:sz w:val="24"/>
          <w:szCs w:val="24"/>
          <w:rFonts w:ascii="仿宋" w:eastAsia="仿宋" w:hAnsi="仿宋" w:hint="default"/>
        </w:rPr>
        <w:t>术规范》进行布设施工用电线路设备，安装施工机具。</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7、对于购置的安全防护用品必须有厂家许可证、产品合格证，要求合格率</w:t>
      </w:r>
      <w:r>
        <w:rPr>
          <w:color w:val="000000"/>
          <w:position w:val="0"/>
          <w:sz w:val="24"/>
          <w:szCs w:val="24"/>
          <w:rFonts w:ascii="仿宋" w:eastAsia="仿宋" w:hAnsi="仿宋" w:hint="default"/>
        </w:rPr>
        <w:t>达100%。</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8、作好入场工人的安全教育工作，教育工人要遵守施工安全操作规程及厂</w:t>
      </w:r>
      <w:r>
        <w:rPr>
          <w:color w:val="000000"/>
          <w:position w:val="0"/>
          <w:sz w:val="24"/>
          <w:szCs w:val="24"/>
          <w:rFonts w:ascii="仿宋" w:eastAsia="仿宋" w:hAnsi="仿宋" w:hint="default"/>
        </w:rPr>
        <w:t>区的安全管理规定。</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三、措施和要求</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1、牢固树立“安全第一，预防为主”的方针，严格执行安全技术规程、安全</w:t>
      </w:r>
      <w:r>
        <w:rPr>
          <w:color w:val="000000"/>
          <w:position w:val="0"/>
          <w:sz w:val="24"/>
          <w:szCs w:val="24"/>
          <w:rFonts w:ascii="仿宋" w:eastAsia="仿宋" w:hAnsi="仿宋" w:hint="default"/>
        </w:rPr>
        <w:t>操作规程及JGJ59-2011《建筑施工安全检查评分标准》，落实施工组织设计及</w:t>
      </w:r>
      <w:r>
        <w:rPr>
          <w:color w:val="000000"/>
          <w:position w:val="0"/>
          <w:sz w:val="24"/>
          <w:szCs w:val="24"/>
          <w:rFonts w:ascii="仿宋" w:eastAsia="仿宋" w:hAnsi="仿宋" w:hint="default"/>
        </w:rPr>
        <w:t>施工方案的措施方案，制定分部分项安全技术措施，落实安全生产工作。</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2、抓好安全生产责任制落实工作，要进一步提高认识，明确责任，针对存</w:t>
      </w:r>
      <w:r>
        <w:rPr>
          <w:color w:val="000000"/>
          <w:position w:val="0"/>
          <w:sz w:val="24"/>
          <w:szCs w:val="24"/>
          <w:rFonts w:ascii="仿宋" w:eastAsia="仿宋" w:hAnsi="仿宋" w:hint="default"/>
        </w:rPr>
        <w:t>在问题，积极采取有效措施加以解决。</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3、作好分部分项的安全技术交底工作，安全技术交底应全面、具体，并要有</w:t>
      </w:r>
      <w:r>
        <w:rPr>
          <w:color w:val="000000"/>
          <w:position w:val="0"/>
          <w:sz w:val="24"/>
          <w:szCs w:val="24"/>
          <w:rFonts w:ascii="仿宋" w:eastAsia="仿宋" w:hAnsi="仿宋" w:hint="default"/>
        </w:rPr>
        <w:t>针对性，并做好安全交底记录。</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4、专职安全员每天要对施工现场进行安全巡视检查，对于发现的安全隐患</w:t>
      </w:r>
      <w:r>
        <w:rPr>
          <w:color w:val="000000"/>
          <w:position w:val="0"/>
          <w:sz w:val="24"/>
          <w:szCs w:val="24"/>
          <w:rFonts w:ascii="仿宋" w:eastAsia="仿宋" w:hAnsi="仿宋" w:hint="default"/>
        </w:rPr>
        <w:t>应立即提出整改，对于整改情况要全程追踪，并应及时反馈；对违章指挥、违章</w:t>
      </w:r>
      <w:r>
        <w:rPr>
          <w:color w:val="000000"/>
          <w:position w:val="0"/>
          <w:sz w:val="24"/>
          <w:szCs w:val="24"/>
          <w:rFonts w:ascii="仿宋" w:eastAsia="仿宋" w:hAnsi="仿宋" w:hint="default"/>
        </w:rPr>
        <w:t>作业的人和行为，要坚决制止，督促工人严格遵守安全操作规程，严格按照规</w:t>
      </w:r>
      <w:r>
        <w:rPr>
          <w:color w:val="000000"/>
          <w:position w:val="0"/>
          <w:sz w:val="24"/>
          <w:szCs w:val="24"/>
          <w:rFonts w:ascii="仿宋" w:eastAsia="仿宋" w:hAnsi="仿宋" w:hint="default"/>
        </w:rPr>
        <w:t>定佩带安全防护用品。</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5、认真实施安全技术措施方案，作好安全防护设施的搭设与维修，安全防</w:t>
      </w:r>
      <w:r>
        <w:rPr>
          <w:color w:val="000000"/>
          <w:position w:val="0"/>
          <w:sz w:val="24"/>
          <w:szCs w:val="24"/>
          <w:rFonts w:ascii="仿宋" w:eastAsia="仿宋" w:hAnsi="仿宋" w:hint="default"/>
        </w:rPr>
        <w:t>护设施的搭设不得滞后于工程的施工进度。</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6、大力做好安全宣传教育教育工作，切实做好岗前培训，不断加强工人的</w:t>
      </w:r>
      <w:r>
        <w:rPr>
          <w:color w:val="000000"/>
          <w:position w:val="0"/>
          <w:sz w:val="24"/>
          <w:szCs w:val="24"/>
          <w:rFonts w:ascii="仿宋" w:eastAsia="仿宋" w:hAnsi="仿宋" w:hint="default"/>
        </w:rPr>
        <w:t>自我安全防护意识和能力。</w:t>
      </w:r>
    </w:p>
    <w:p>
      <w:pPr>
        <w:numPr>
          <w:ilvl w:val="0"/>
          <w:numId w:val="0"/>
        </w:numPr>
        <w:jc w:val="both"/>
        <w:spacing w:lineRule="auto" w:line="360" w:before="0" w:after="0"/>
        <w:ind w:right="0" w:firstLine="480"/>
        <w:rPr>
          <w:color w:val="000000"/>
          <w:position w:val="0"/>
          <w:sz w:val="24"/>
          <w:szCs w:val="24"/>
          <w:rFonts w:ascii="仿宋" w:eastAsia="Times New Roman" w:hAnsi="Times New Roman" w:hint="default"/>
        </w:rPr>
        <w:snapToGrid w:val="off"/>
        <w:autoSpaceDE w:val="1"/>
        <w:autoSpaceDN w:val="1"/>
      </w:pPr>
      <w:r>
        <w:rPr>
          <w:color w:val="000000"/>
          <w:position w:val="0"/>
          <w:sz w:val="24"/>
          <w:szCs w:val="24"/>
          <w:rFonts w:ascii="仿宋" w:eastAsia="仿宋" w:hAnsi="仿宋" w:hint="default"/>
        </w:rPr>
        <w:t>7、各级安全责任人要严格按照各自的安全岗位职责范围，开展好各项安全</w:t>
      </w:r>
      <w:r>
        <w:rPr>
          <w:color w:val="000000"/>
          <w:position w:val="0"/>
          <w:sz w:val="24"/>
          <w:szCs w:val="24"/>
          <w:rFonts w:ascii="仿宋" w:eastAsia="仿宋" w:hAnsi="仿宋" w:hint="default"/>
        </w:rPr>
        <w:t>生产工作，做到“齐抓共管”。</w:t>
      </w:r>
    </w:p>
    <w:tbl>
      <w:tblPr>
        <w:tblpPr w:leftFromText="180" w:rightFromText="180" w:vertAnchor="text" w:horzAnchor="page" w:tblpX="1760" w:tblpY="359"/>
        <w:tblOverlap w:val="never"/>
        <w:tblCellMar>
          <w:left w:w="108" w:type="dxa"/>
          <w:top w:w="0" w:type="dxa"/>
          <w:right w:w="108" w:type="dxa"/>
          <w:bottom w:w="0" w:type="dxa"/>
        </w:tblCellMar>
        <w:tblW w:w="0" w:type="auto"/>
        <w:tblLook w:val="0004A0" w:firstRow="1" w:lastRow="0" w:firstColumn="1" w:lastColumn="0" w:noHBand="0" w:noVBand="1"/>
        <w:tblLayout w:type="auto"/>
      </w:tblPr>
      <w:tblGrid>
        <w:gridCol w:w="1543"/>
        <w:gridCol w:w="2967"/>
        <w:gridCol w:w="1578"/>
        <w:gridCol w:w="2932"/>
      </w:tblGrid>
      <w:tr>
        <w:trPr>
          <w:trHeight w:hRule="atleast" w:val="892"/>
        </w:trPr>
        <w:tc>
          <w:tcPr>
            <w:tcW w:type="dxa" w:w="1543"/>
            <w:vAlign w:val="center"/>
          </w:tcPr>
          <w:p>
            <w:pPr>
              <w:numPr>
                <w:ilvl w:val="0"/>
                <w:numId w:val="0"/>
              </w:numPr>
              <w:jc w:val="left"/>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发包人</w:t>
            </w:r>
          </w:p>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(盖章)：</w:t>
            </w:r>
          </w:p>
        </w:tc>
        <w:tc>
          <w:tcPr>
            <w:tcW w:type="dxa" w:w="2967"/>
            <w:vAlign w:val="center"/>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p>
        </w:tc>
        <w:tc>
          <w:tcPr>
            <w:tcW w:type="dxa" w:w="1578"/>
            <w:vAlign w:val="center"/>
          </w:tcPr>
          <w:p>
            <w:pPr>
              <w:numPr>
                <w:ilvl w:val="0"/>
                <w:numId w:val="0"/>
              </w:numPr>
              <w:jc w:val="left"/>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承包人</w:t>
            </w:r>
          </w:p>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(盖章)：</w:t>
            </w:r>
          </w:p>
        </w:tc>
        <w:tc>
          <w:tcPr>
            <w:tcW w:type="dxa" w:w="2932"/>
            <w:vAlign w:val="center"/>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p>
        </w:tc>
      </w:tr>
      <w:tr>
        <w:trPr>
          <w:trHeight w:hRule="atleast" w:val="619"/>
        </w:trPr>
        <w:tc>
          <w:tcPr>
            <w:tcW w:type="dxa" w:w="4510"/>
            <w:vAlign w:val="center"/>
            <w:gridSpan w:val="2"/>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法定代表人或</w:t>
            </w:r>
          </w:p>
        </w:tc>
        <w:tc>
          <w:tcPr>
            <w:tcW w:type="dxa" w:w="4510"/>
            <w:vAlign w:val="center"/>
            <w:gridSpan w:val="2"/>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法定代表人或</w:t>
            </w:r>
          </w:p>
        </w:tc>
      </w:tr>
      <w:tr>
        <w:trPr>
          <w:trHeight w:hRule="atleast" w:val="714"/>
        </w:trPr>
        <w:tc>
          <w:tcPr>
            <w:tcW w:type="dxa" w:w="4510"/>
            <w:vAlign w:val="center"/>
            <w:gridSpan w:val="2"/>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授权代理人（签字或盖章）：</w:t>
            </w:r>
          </w:p>
        </w:tc>
        <w:tc>
          <w:tcPr>
            <w:tcW w:type="dxa" w:w="4510"/>
            <w:vAlign w:val="center"/>
            <w:gridSpan w:val="2"/>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授权代理人（签字或盖章）：</w:t>
            </w:r>
          </w:p>
        </w:tc>
      </w:tr>
      <w:tr>
        <w:trPr>
          <w:trHeight w:hRule="atleast" w:val="633"/>
        </w:trPr>
        <w:tc>
          <w:tcPr>
            <w:tcW w:type="dxa" w:w="4510"/>
            <w:vAlign w:val="center"/>
            <w:gridSpan w:val="2"/>
          </w:tcPr>
          <w:p>
            <w:pPr>
              <w:numPr>
                <w:ilvl w:val="0"/>
                <w:numId w:val="0"/>
              </w:numPr>
              <w:jc w:val="both"/>
              <w:spacing w:lineRule="auto" w:line="240" w:before="0" w:after="200"/>
              <w:ind w:right="0" w:firstLine="0"/>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 xml:space="preserve">      年    月    日</w:t>
            </w:r>
          </w:p>
        </w:tc>
        <w:tc>
          <w:tcPr>
            <w:tcW w:type="dxa" w:w="4510"/>
            <w:vAlign w:val="center"/>
            <w:gridSpan w:val="2"/>
          </w:tcPr>
          <w:p>
            <w:pPr>
              <w:numPr>
                <w:ilvl w:val="0"/>
                <w:numId w:val="0"/>
              </w:numPr>
              <w:jc w:val="left"/>
              <w:spacing w:lineRule="auto" w:line="240" w:before="0" w:after="200"/>
              <w:ind w:right="0" w:firstLine="1058"/>
              <w:rPr>
                <w:color w:val="auto"/>
                <w:position w:val="0"/>
                <w:sz w:val="24"/>
                <w:szCs w:val="24"/>
                <w:rFonts w:ascii="仿宋" w:eastAsia="仿宋_GB2312" w:hAnsi="仿宋_GB2312" w:hint="default"/>
              </w:rPr>
              <w:snapToGrid w:val="off"/>
              <w:autoSpaceDE w:val="1"/>
              <w:autoSpaceDN w:val="1"/>
            </w:pPr>
            <w:r>
              <w:rPr>
                <w:color w:val="auto"/>
                <w:position w:val="0"/>
                <w:sz w:val="24"/>
                <w:szCs w:val="24"/>
                <w:rFonts w:ascii="仿宋" w:eastAsia="仿宋" w:hAnsi="仿宋" w:hint="default"/>
              </w:rPr>
              <w:t xml:space="preserve">年    月    日</w:t>
            </w:r>
          </w:p>
        </w:tc>
      </w:tr>
    </w:tbl>
    <w:p>
      <w:pPr>
        <w:numPr>
          <w:ilvl w:val="0"/>
          <w:numId w:val="0"/>
        </w:numPr>
        <w:jc w:val="left"/>
        <w:spacing w:lineRule="auto" w:line="240" w:before="0" w:after="200"/>
        <w:ind w:right="0" w:firstLine="0"/>
        <w:rPr>
          <w:b w:val="1"/>
          <w:color w:val="auto"/>
          <w:position w:val="0"/>
          <w:sz w:val="28"/>
          <w:szCs w:val="28"/>
          <w:rFonts w:ascii="宋体" w:eastAsia="仿宋" w:hAnsi="仿宋" w:hint="default"/>
        </w:rPr>
        <w:snapToGrid w:val="off"/>
        <w:autoSpaceDE w:val="1"/>
        <w:autoSpaceDN w:val="1"/>
      </w:pPr>
      <w:r>
        <w:rPr>
          <w:b w:val="1"/>
          <w:color w:val="auto"/>
          <w:position w:val="0"/>
          <w:sz w:val="28"/>
          <w:szCs w:val="28"/>
          <w:rFonts w:ascii="宋体" w:eastAsia="宋体" w:hAnsi="宋体" w:hint="default"/>
        </w:rPr>
        <w:t>附件四：</w:t>
      </w:r>
    </w:p>
    <w:p>
      <w:pPr>
        <w:numPr>
          <w:ilvl w:val="0"/>
          <w:numId w:val="0"/>
        </w:numPr>
        <w:jc w:val="center"/>
        <w:spacing w:lineRule="auto" w:line="240" w:before="0" w:after="200"/>
        <w:ind w:right="0" w:firstLine="0"/>
        <w:rPr>
          <w:color w:val="000000"/>
          <w:position w:val="0"/>
          <w:sz w:val="36"/>
          <w:szCs w:val="36"/>
          <w:rFonts w:ascii="微软雅黑" w:eastAsia="Times New Roman" w:hAnsi="Times New Roman" w:hint="default"/>
        </w:rPr>
        <w:snapToGrid w:val="off"/>
        <w:autoSpaceDE w:val="1"/>
        <w:autoSpaceDN w:val="1"/>
      </w:pPr>
      <w:r>
        <w:rPr>
          <w:color w:val="auto"/>
          <w:position w:val="0"/>
          <w:sz w:val="36"/>
          <w:szCs w:val="36"/>
          <w:rFonts w:ascii="微软雅黑" w:eastAsia="Tahoma" w:hAnsi="Tahoma" w:hint="default"/>
        </w:rPr>
        <w:t>安全生产协议书</w:t>
      </w:r>
    </w:p>
    <w:p>
      <w:pPr>
        <w:numPr>
          <w:ilvl w:val="0"/>
          <w:numId w:val="0"/>
        </w:numPr>
        <w:jc w:val="both"/>
        <w:spacing w:lineRule="auto" w:line="360" w:before="0" w:after="0"/>
        <w:ind w:right="0" w:firstLine="487"/>
        <w:rPr>
          <w:b w:val="1"/>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发包人（全称）：</w:t>
      </w:r>
    </w:p>
    <w:p>
      <w:pPr>
        <w:numPr>
          <w:ilvl w:val="0"/>
          <w:numId w:val="0"/>
        </w:numPr>
        <w:jc w:val="both"/>
        <w:spacing w:lineRule="auto" w:line="360" w:before="0" w:after="0"/>
        <w:ind w:right="0" w:firstLine="487"/>
        <w:rPr>
          <w:b w:val="1"/>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承包人（全称）：</w:t>
      </w:r>
    </w:p>
    <w:p>
      <w:pPr>
        <w:numPr>
          <w:ilvl w:val="0"/>
          <w:numId w:val="0"/>
        </w:numPr>
        <w:jc w:val="both"/>
        <w:spacing w:lineRule="auto" w:line="360" w:before="0" w:after="0"/>
        <w:ind w:right="0" w:firstLine="487"/>
        <w:rPr>
          <w:color w:val="auto"/>
          <w:position w:val="0"/>
          <w:sz w:val="24"/>
          <w:szCs w:val="24"/>
          <w:rFonts w:ascii="仿宋" w:eastAsia="宋体" w:hAnsi="宋体" w:hint="default"/>
        </w:rPr>
        <w:snapToGrid w:val="off"/>
        <w:autoSpaceDE w:val="1"/>
        <w:autoSpaceDN w:val="1"/>
      </w:pPr>
      <w:r>
        <w:rPr>
          <w:b w:val="1"/>
          <w:color w:val="auto"/>
          <w:position w:val="0"/>
          <w:sz w:val="24"/>
          <w:szCs w:val="24"/>
          <w:rFonts w:ascii="仿宋" w:eastAsia="仿宋" w:hAnsi="仿宋" w:hint="default"/>
        </w:rPr>
        <w:t>工程项目名称：</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auto"/>
          <w:position w:val="0"/>
          <w:sz w:val="24"/>
          <w:szCs w:val="24"/>
          <w:rFonts w:ascii="仿宋" w:eastAsia="仿宋" w:hAnsi="仿宋" w:hint="default"/>
        </w:rPr>
        <w:t>工程项目地址</w:t>
      </w:r>
      <w:r>
        <w:rPr>
          <w:color w:val="auto"/>
          <w:position w:val="0"/>
          <w:sz w:val="24"/>
          <w:szCs w:val="24"/>
          <w:rFonts w:ascii="仿宋" w:eastAsia="仿宋" w:hAnsi="仿宋" w:hint="default"/>
        </w:rPr>
        <w:t>：</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为确保建设工程在施工中人身、设备的安全，依据《中华人民共和国安全生</w:t>
      </w:r>
      <w:r>
        <w:rPr>
          <w:color w:val="000000"/>
          <w:position w:val="0"/>
          <w:sz w:val="24"/>
          <w:szCs w:val="24"/>
          <w:rFonts w:ascii="仿宋" w:eastAsia="仿宋" w:hAnsi="仿宋" w:hint="default"/>
        </w:rPr>
        <w:t>产法》、《建筑法》等法律、法规、规定，明确发、承包方安全责任，确保施</w:t>
      </w:r>
      <w:r>
        <w:rPr>
          <w:color w:val="000000"/>
          <w:position w:val="0"/>
          <w:sz w:val="24"/>
          <w:szCs w:val="24"/>
          <w:rFonts w:ascii="仿宋" w:eastAsia="仿宋" w:hAnsi="仿宋" w:hint="default"/>
        </w:rPr>
        <w:t>工安全，保证员工和其他所有雇员在工程建设过程中人身健康安全，预防发生</w:t>
      </w:r>
      <w:r>
        <w:rPr>
          <w:color w:val="000000"/>
          <w:position w:val="0"/>
          <w:sz w:val="24"/>
          <w:szCs w:val="24"/>
          <w:rFonts w:ascii="仿宋" w:eastAsia="仿宋" w:hAnsi="仿宋" w:hint="default"/>
        </w:rPr>
        <w:t>各类施工安全事故，经双方协商，发、承包双方自愿签订本协议。</w:t>
      </w:r>
    </w:p>
    <w:p>
      <w:pPr>
        <w:numPr>
          <w:ilvl w:val="0"/>
          <w:numId w:val="0"/>
        </w:numPr>
        <w:jc w:val="both"/>
        <w:spacing w:lineRule="auto" w:line="360" w:before="0" w:after="0"/>
        <w:ind w:right="0" w:firstLine="482"/>
        <w:rPr>
          <w:b w:val="1"/>
          <w:color w:val="auto"/>
          <w:position w:val="0"/>
          <w:sz w:val="24"/>
          <w:szCs w:val="24"/>
          <w:rFonts w:ascii="仿宋" w:eastAsia="Times New Roman" w:hAnsi="Times New Roman" w:hint="default"/>
        </w:rPr>
        <w:snapToGrid w:val="off"/>
        <w:autoSpaceDE w:val="1"/>
        <w:autoSpaceDN w:val="1"/>
      </w:pPr>
      <w:r>
        <w:rPr>
          <w:b w:val="1"/>
          <w:color w:val="000000"/>
          <w:position w:val="0"/>
          <w:sz w:val="24"/>
          <w:szCs w:val="24"/>
          <w:rFonts w:ascii="仿宋" w:eastAsia="仿宋" w:hAnsi="仿宋" w:hint="default"/>
        </w:rPr>
        <w:t>一、工程名称：</w:t>
      </w:r>
      <w:r>
        <w:rPr>
          <w:color w:val="auto"/>
          <w:position w:val="0"/>
          <w:sz w:val="24"/>
          <w:szCs w:val="24"/>
          <w:u w:val="single"/>
          <w:rFonts w:ascii="仿宋" w:eastAsia="仿宋" w:hAnsi="仿宋" w:hint="default"/>
        </w:rPr>
        <w:t>小楼门星级厕所改建工程</w:t>
      </w:r>
    </w:p>
    <w:p>
      <w:pPr>
        <w:numPr>
          <w:ilvl w:val="0"/>
          <w:numId w:val="0"/>
        </w:numPr>
        <w:jc w:val="left"/>
        <w:spacing w:lineRule="auto" w:line="360" w:before="0" w:after="0"/>
        <w:ind w:right="0" w:firstLine="482"/>
        <w:rPr>
          <w:color w:val="000000"/>
          <w:position w:val="0"/>
          <w:sz w:val="24"/>
          <w:szCs w:val="24"/>
          <w:rFonts w:ascii="仿宋" w:eastAsia="仿宋_GB2312" w:hAnsi="仿宋_GB2312" w:hint="default"/>
        </w:rPr>
        <w:snapToGrid w:val="off"/>
        <w:autoSpaceDE w:val="1"/>
        <w:autoSpaceDN w:val="1"/>
      </w:pPr>
      <w:r>
        <w:rPr>
          <w:b w:val="1"/>
          <w:color w:val="000000"/>
          <w:position w:val="0"/>
          <w:sz w:val="24"/>
          <w:szCs w:val="24"/>
          <w:rFonts w:ascii="仿宋" w:eastAsia="仿宋" w:hAnsi="仿宋" w:hint="default"/>
        </w:rPr>
        <w:t>二、工程地址：</w:t>
      </w:r>
      <w:r>
        <w:rPr>
          <w:color w:val="auto"/>
          <w:position w:val="0"/>
          <w:sz w:val="24"/>
          <w:szCs w:val="24"/>
          <w:u w:val="single"/>
          <w:rFonts w:ascii="仿宋" w:eastAsia="仿宋" w:hAnsi="仿宋" w:hint="default"/>
        </w:rPr>
        <w:t>恩施市沐抚镇大峡谷景区内</w:t>
      </w:r>
      <w:r>
        <w:rPr>
          <w:color w:val="000000"/>
          <w:position w:val="0"/>
          <w:sz w:val="24"/>
          <w:szCs w:val="24"/>
          <w:u w:val="single"/>
          <w:rFonts w:ascii="仿宋" w:eastAsia="仿宋" w:hAnsi="仿宋" w:hint="default"/>
        </w:rPr>
        <w:t xml:space="preserve"> </w:t>
      </w:r>
      <w:r>
        <w:rPr>
          <w:color w:val="000000"/>
          <w:position w:val="0"/>
          <w:sz w:val="24"/>
          <w:szCs w:val="24"/>
          <w:rFonts w:ascii="仿宋" w:eastAsia="仿宋" w:hAnsi="仿宋" w:hint="default"/>
        </w:rPr>
        <w:t xml:space="preserve">                            </w:t>
      </w:r>
    </w:p>
    <w:p>
      <w:pPr>
        <w:numPr>
          <w:ilvl w:val="0"/>
          <w:numId w:val="0"/>
        </w:numPr>
        <w:jc w:val="both"/>
        <w:spacing w:lineRule="auto" w:line="360" w:before="0" w:after="0"/>
        <w:ind w:right="0" w:firstLine="482"/>
        <w:rPr>
          <w:color w:val="000000"/>
          <w:position w:val="0"/>
          <w:sz w:val="24"/>
          <w:szCs w:val="24"/>
          <w:rFonts w:ascii="仿宋" w:eastAsia="仿宋_GB2312" w:hAnsi="仿宋_GB2312" w:hint="default"/>
        </w:rPr>
        <w:snapToGrid w:val="off"/>
        <w:autoSpaceDE w:val="1"/>
        <w:autoSpaceDN w:val="1"/>
      </w:pPr>
      <w:r>
        <w:rPr>
          <w:b w:val="1"/>
          <w:color w:val="000000"/>
          <w:position w:val="0"/>
          <w:sz w:val="24"/>
          <w:szCs w:val="24"/>
          <w:rFonts w:ascii="仿宋" w:eastAsia="仿宋" w:hAnsi="仿宋" w:hint="default"/>
        </w:rPr>
        <w:t>三、工程范围：</w:t>
      </w:r>
      <w:r>
        <w:rPr>
          <w:color w:val="000000"/>
          <w:position w:val="0"/>
          <w:sz w:val="24"/>
          <w:szCs w:val="24"/>
          <w:u w:val="single"/>
          <w:rFonts w:ascii="仿宋" w:eastAsia="仿宋" w:hAnsi="仿宋" w:hint="default"/>
        </w:rPr>
        <w:t>工程量清单内全部工作内容</w:t>
      </w:r>
      <w:r>
        <w:rPr>
          <w:color w:val="000000"/>
          <w:position w:val="0"/>
          <w:sz w:val="24"/>
          <w:szCs w:val="24"/>
          <w:rFonts w:ascii="仿宋" w:eastAsia="仿宋" w:hAnsi="仿宋" w:hint="default"/>
        </w:rPr>
        <w:t>。</w:t>
      </w:r>
    </w:p>
    <w:p>
      <w:pPr>
        <w:numPr>
          <w:ilvl w:val="0"/>
          <w:numId w:val="0"/>
        </w:numPr>
        <w:jc w:val="both"/>
        <w:spacing w:lineRule="auto" w:line="360" w:before="0" w:after="0"/>
        <w:ind w:right="0" w:firstLine="482"/>
        <w:rPr>
          <w:color w:val="000000"/>
          <w:position w:val="0"/>
          <w:sz w:val="24"/>
          <w:szCs w:val="24"/>
          <w:rFonts w:ascii="仿宋" w:eastAsia="仿宋_GB2312" w:hAnsi="仿宋_GB2312" w:hint="default"/>
        </w:rPr>
        <w:snapToGrid w:val="off"/>
        <w:autoSpaceDE w:val="1"/>
        <w:autoSpaceDN w:val="1"/>
      </w:pPr>
      <w:r>
        <w:rPr>
          <w:b w:val="1"/>
          <w:color w:val="000000"/>
          <w:position w:val="0"/>
          <w:sz w:val="24"/>
          <w:szCs w:val="24"/>
          <w:rFonts w:ascii="仿宋" w:eastAsia="仿宋" w:hAnsi="仿宋" w:hint="default"/>
        </w:rPr>
        <w:t>四、协议期限：</w:t>
      </w:r>
      <w:r>
        <w:rPr>
          <w:color w:val="000000"/>
          <w:position w:val="0"/>
          <w:sz w:val="24"/>
          <w:szCs w:val="24"/>
          <w:rFonts w:ascii="仿宋" w:eastAsia="仿宋" w:hAnsi="仿宋" w:hint="default"/>
        </w:rPr>
        <w:t>本协议与工程施工合同同步有效至施工结束工程移交甲方结</w:t>
      </w:r>
      <w:r>
        <w:rPr>
          <w:color w:val="000000"/>
          <w:position w:val="0"/>
          <w:sz w:val="24"/>
          <w:szCs w:val="24"/>
          <w:rFonts w:ascii="仿宋" w:eastAsia="仿宋" w:hAnsi="仿宋" w:hint="default"/>
        </w:rPr>
        <w:t>束。</w:t>
      </w:r>
      <w:r>
        <w:rPr>
          <w:color w:val="000000"/>
          <w:position w:val="0"/>
          <w:sz w:val="24"/>
          <w:szCs w:val="24"/>
          <w:rFonts w:ascii="仿宋" w:eastAsia="仿宋" w:hAnsi="仿宋" w:hint="default"/>
        </w:rPr>
        <w:br/>
      </w:r>
      <w:r>
        <w:rPr>
          <w:color w:val="000000"/>
          <w:position w:val="0"/>
          <w:sz w:val="24"/>
          <w:szCs w:val="24"/>
          <w:rFonts w:ascii="仿宋" w:eastAsia="仿宋" w:hAnsi="仿宋" w:hint="default"/>
        </w:rPr>
        <w:t xml:space="preserve">   </w:t>
      </w:r>
      <w:r>
        <w:rPr>
          <w:b w:val="1"/>
          <w:color w:val="000000"/>
          <w:position w:val="0"/>
          <w:sz w:val="24"/>
          <w:szCs w:val="24"/>
          <w:rFonts w:ascii="仿宋" w:eastAsia="仿宋" w:hAnsi="仿宋" w:hint="default"/>
        </w:rPr>
        <w:t>五、发包人的安全责任：</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1、对承包人的资质进行审查，确认其符合且具备下列条件：</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1.1持有有相关部门颁发的营业执照和资质证书：持有法定代表人身份证</w:t>
      </w:r>
      <w:r>
        <w:rPr>
          <w:color w:val="000000"/>
          <w:position w:val="0"/>
          <w:sz w:val="24"/>
          <w:szCs w:val="24"/>
          <w:rFonts w:ascii="仿宋" w:eastAsia="仿宋" w:hAnsi="仿宋" w:hint="default"/>
        </w:rPr>
        <w:t>明书、授权委托书。</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1.2相关负责人、工程技术人员和特种作业人员的配置及持证符合安全生产</w:t>
      </w:r>
      <w:r>
        <w:rPr>
          <w:color w:val="000000"/>
          <w:position w:val="0"/>
          <w:sz w:val="24"/>
          <w:szCs w:val="24"/>
          <w:rFonts w:ascii="仿宋" w:eastAsia="仿宋" w:hAnsi="仿宋" w:hint="default"/>
        </w:rPr>
        <w:t>要求。</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1.3配备的机械、工器具及安全防护设施、安全用具满足安全生产需要。</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1.4应有的安全管理制度齐全。保括各工种的安全操作规程、特种作业人员</w:t>
      </w:r>
      <w:r>
        <w:rPr>
          <w:color w:val="000000"/>
          <w:position w:val="0"/>
          <w:sz w:val="24"/>
          <w:szCs w:val="24"/>
          <w:rFonts w:ascii="仿宋" w:eastAsia="仿宋" w:hAnsi="仿宋" w:hint="default"/>
        </w:rPr>
        <w:t>的审证考核制度、各级安全生产岗位责任制和定期安全检查、安全教育等制度。</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1.5承包人专职安全管理机构人员配备情况。</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2、开工前发包人必须对承包人项目负责人等，进行全面的安全技术及文明</w:t>
      </w:r>
      <w:r>
        <w:rPr>
          <w:color w:val="000000"/>
          <w:position w:val="0"/>
          <w:sz w:val="24"/>
          <w:szCs w:val="24"/>
          <w:rFonts w:ascii="仿宋" w:eastAsia="仿宋" w:hAnsi="仿宋" w:hint="default"/>
        </w:rPr>
        <w:t>施工交底，应有完整的交底资料和交底记录，并经双方交底人员签字。并要求承</w:t>
      </w:r>
      <w:r>
        <w:rPr>
          <w:color w:val="000000"/>
          <w:position w:val="0"/>
          <w:sz w:val="24"/>
          <w:szCs w:val="24"/>
          <w:rFonts w:ascii="仿宋" w:eastAsia="仿宋" w:hAnsi="仿宋" w:hint="default"/>
        </w:rPr>
        <w:t>包人事先制定施工方案，明确“三措”（组织措施、安全措施、技术措施），经</w:t>
      </w:r>
      <w:r>
        <w:rPr>
          <w:color w:val="000000"/>
          <w:position w:val="0"/>
          <w:sz w:val="24"/>
          <w:szCs w:val="24"/>
          <w:rFonts w:ascii="仿宋" w:eastAsia="仿宋" w:hAnsi="仿宋" w:hint="default"/>
        </w:rPr>
        <w:t>发包人工程部门审查合格后方可施工。</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3、不定期检查承包人施工现场，对承包人人员在生产工作中违反有关安全</w:t>
      </w:r>
      <w:r>
        <w:rPr>
          <w:color w:val="000000"/>
          <w:position w:val="0"/>
          <w:sz w:val="24"/>
          <w:szCs w:val="24"/>
          <w:rFonts w:ascii="仿宋" w:eastAsia="仿宋" w:hAnsi="仿宋" w:hint="default"/>
        </w:rPr>
        <w:t>生产规章制度的行为予以制止和纠正，并发出有存底联的书面整改通知书；对</w:t>
      </w:r>
      <w:r>
        <w:rPr>
          <w:color w:val="000000"/>
          <w:position w:val="0"/>
          <w:sz w:val="24"/>
          <w:szCs w:val="24"/>
          <w:rFonts w:ascii="仿宋" w:eastAsia="仿宋" w:hAnsi="仿宋" w:hint="default"/>
        </w:rPr>
        <w:t>承包人人员在生产工作中违反有关安全生产规章制度的行为予以经济处罚，对</w:t>
      </w:r>
      <w:r>
        <w:rPr>
          <w:color w:val="000000"/>
          <w:position w:val="0"/>
          <w:sz w:val="24"/>
          <w:szCs w:val="24"/>
          <w:rFonts w:ascii="仿宋" w:eastAsia="仿宋" w:hAnsi="仿宋" w:hint="default"/>
        </w:rPr>
        <w:t>严重违章的行为立即勒令停止其工作。</w:t>
      </w:r>
    </w:p>
    <w:p>
      <w:pPr>
        <w:numPr>
          <w:ilvl w:val="0"/>
          <w:numId w:val="0"/>
        </w:numPr>
        <w:jc w:val="both"/>
        <w:spacing w:lineRule="auto" w:line="360" w:before="0" w:after="0"/>
        <w:ind w:right="0" w:firstLine="482"/>
        <w:rPr>
          <w:b w:val="1"/>
          <w:color w:val="000000"/>
          <w:position w:val="0"/>
          <w:sz w:val="24"/>
          <w:szCs w:val="24"/>
          <w:rFonts w:ascii="仿宋" w:eastAsia="仿宋_GB2312" w:hAnsi="仿宋_GB2312" w:hint="default"/>
        </w:rPr>
        <w:snapToGrid w:val="off"/>
        <w:autoSpaceDE w:val="1"/>
        <w:autoSpaceDN w:val="1"/>
      </w:pPr>
      <w:r>
        <w:rPr>
          <w:b w:val="1"/>
          <w:color w:val="000000"/>
          <w:position w:val="0"/>
          <w:sz w:val="24"/>
          <w:szCs w:val="24"/>
          <w:rFonts w:ascii="仿宋" w:eastAsia="仿宋" w:hAnsi="仿宋" w:hint="default"/>
        </w:rPr>
        <w:t>六、承包人安全责任</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1、承包人对所承担的施工项目，必须制订施工方案，并结合工程实际制定</w:t>
      </w:r>
      <w:r>
        <w:rPr>
          <w:color w:val="000000"/>
          <w:position w:val="0"/>
          <w:sz w:val="24"/>
          <w:szCs w:val="24"/>
          <w:rFonts w:ascii="仿宋" w:eastAsia="仿宋" w:hAnsi="仿宋" w:hint="default"/>
        </w:rPr>
        <w:t xml:space="preserve">好保证安全的“三大措施” (组织、技术、安全措施)，经发包人</w:t>
      </w:r>
      <w:r>
        <w:rPr>
          <w:color w:val="auto"/>
          <w:position w:val="0"/>
          <w:sz w:val="24"/>
          <w:szCs w:val="24"/>
          <w:rFonts w:ascii="仿宋" w:eastAsia="仿宋" w:hAnsi="仿宋" w:hint="default"/>
        </w:rPr>
        <w:t>及发包人委托</w:t>
      </w:r>
      <w:r>
        <w:rPr>
          <w:color w:val="000000"/>
          <w:position w:val="0"/>
          <w:sz w:val="24"/>
          <w:szCs w:val="24"/>
          <w:rFonts w:ascii="仿宋" w:eastAsia="仿宋" w:hAnsi="仿宋" w:hint="default"/>
        </w:rPr>
        <w:t>的</w:t>
      </w:r>
      <w:r>
        <w:rPr>
          <w:color w:val="000000"/>
          <w:position w:val="0"/>
          <w:sz w:val="24"/>
          <w:szCs w:val="24"/>
          <w:rFonts w:ascii="仿宋" w:eastAsia="仿宋" w:hAnsi="仿宋" w:hint="default"/>
        </w:rPr>
        <w:t>监理单位审查合格后监督实施。</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2、承包人必须贯彻执行国家有关安全生产的方针、政策、法令、法规，遵</w:t>
      </w:r>
      <w:r>
        <w:rPr>
          <w:color w:val="000000"/>
          <w:position w:val="0"/>
          <w:sz w:val="24"/>
          <w:szCs w:val="24"/>
          <w:rFonts w:ascii="仿宋" w:eastAsia="仿宋" w:hAnsi="仿宋" w:hint="default"/>
        </w:rPr>
        <w:t>守国家、行业有关安全施工、文明施工的规定。遵守现场的各项规章制度。</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3、工程开工前，承包人必须组织全体施工人员分工种进行安全教育、技能和</w:t>
      </w:r>
      <w:r>
        <w:rPr>
          <w:color w:val="000000"/>
          <w:position w:val="0"/>
          <w:sz w:val="24"/>
          <w:szCs w:val="24"/>
          <w:rFonts w:ascii="仿宋" w:eastAsia="仿宋" w:hAnsi="仿宋" w:hint="default"/>
        </w:rPr>
        <w:t>安规考试，合格后方可进入现场施工。需调换工种、增补或调动人员者，在上岗</w:t>
      </w:r>
      <w:r>
        <w:rPr>
          <w:color w:val="000000"/>
          <w:position w:val="0"/>
          <w:sz w:val="24"/>
          <w:szCs w:val="24"/>
          <w:rFonts w:ascii="仿宋" w:eastAsia="仿宋" w:hAnsi="仿宋" w:hint="default"/>
        </w:rPr>
        <w:t>前均必须进行安全教育和技能安规考试，并报给发包人安监部门备案。特种作业</w:t>
      </w:r>
      <w:r>
        <w:rPr>
          <w:color w:val="000000"/>
          <w:position w:val="0"/>
          <w:sz w:val="24"/>
          <w:szCs w:val="24"/>
          <w:rFonts w:ascii="仿宋" w:eastAsia="仿宋" w:hAnsi="仿宋" w:hint="default"/>
        </w:rPr>
        <w:t>人员，必须持有有效的《特种作业证》。</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4、承包人工作人员必须无妨碍工作的病症，否则不得参与工作。凡已注册的</w:t>
      </w:r>
      <w:r>
        <w:rPr>
          <w:color w:val="000000"/>
          <w:position w:val="0"/>
          <w:sz w:val="24"/>
          <w:szCs w:val="24"/>
          <w:rFonts w:ascii="仿宋" w:eastAsia="仿宋" w:hAnsi="仿宋" w:hint="default"/>
        </w:rPr>
        <w:t>工程施工人员不得随意更换，不得冒名顶替。</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5、工程开工前，必须向施工人员进行安全技术交底，让全体施工人员掌握</w:t>
      </w:r>
      <w:r>
        <w:rPr>
          <w:color w:val="000000"/>
          <w:position w:val="0"/>
          <w:sz w:val="24"/>
          <w:szCs w:val="24"/>
          <w:rFonts w:ascii="仿宋" w:eastAsia="仿宋" w:hAnsi="仿宋" w:hint="default"/>
        </w:rPr>
        <w:t>工程特点及施工安全措施。</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6、承包人进行特殊作业、危险作业的项目施工时，必须事先编制安全施工措</w:t>
      </w:r>
      <w:r>
        <w:rPr>
          <w:color w:val="000000"/>
          <w:position w:val="0"/>
          <w:sz w:val="24"/>
          <w:szCs w:val="24"/>
          <w:rFonts w:ascii="仿宋" w:eastAsia="仿宋" w:hAnsi="仿宋" w:hint="default"/>
        </w:rPr>
        <w:t>施，填写安全施工作业票；从事电气上的工作，一切施工活动都要办理安全施</w:t>
      </w:r>
      <w:r>
        <w:rPr>
          <w:color w:val="000000"/>
          <w:position w:val="0"/>
          <w:sz w:val="24"/>
          <w:szCs w:val="24"/>
          <w:rFonts w:ascii="仿宋" w:eastAsia="仿宋" w:hAnsi="仿宋" w:hint="default"/>
        </w:rPr>
        <w:t>工作业票（或工作票），并派员监督。</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7、承包人应自觉接受发包人</w:t>
      </w:r>
      <w:r>
        <w:rPr>
          <w:color w:val="auto"/>
          <w:position w:val="0"/>
          <w:sz w:val="24"/>
          <w:szCs w:val="24"/>
          <w:rFonts w:ascii="仿宋" w:eastAsia="仿宋" w:hAnsi="仿宋" w:hint="default"/>
        </w:rPr>
        <w:t>监督和指导。对发包人检</w:t>
      </w:r>
      <w:r>
        <w:rPr>
          <w:color w:val="000000"/>
          <w:position w:val="0"/>
          <w:sz w:val="24"/>
          <w:szCs w:val="24"/>
          <w:rFonts w:ascii="仿宋" w:eastAsia="仿宋" w:hAnsi="仿宋" w:hint="default"/>
        </w:rPr>
        <w:t>查提出的安全整改通知，</w:t>
      </w:r>
      <w:r>
        <w:rPr>
          <w:color w:val="000000"/>
          <w:position w:val="0"/>
          <w:sz w:val="24"/>
          <w:szCs w:val="24"/>
          <w:rFonts w:ascii="仿宋" w:eastAsia="仿宋" w:hAnsi="仿宋" w:hint="default"/>
        </w:rPr>
        <w:t>必须及时整改。施工中一旦发生人身事故或危及生产运行的不安全情况，必须立</w:t>
      </w:r>
      <w:r>
        <w:rPr>
          <w:color w:val="000000"/>
          <w:position w:val="0"/>
          <w:sz w:val="24"/>
          <w:szCs w:val="24"/>
          <w:rFonts w:ascii="仿宋" w:eastAsia="仿宋" w:hAnsi="仿宋" w:hint="default"/>
        </w:rPr>
        <w:t>即报告发包方安全监察部门。</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8、承包人必须按国家有关规定，为施工人员配备合格的劳动防护用品及安</w:t>
      </w:r>
      <w:r>
        <w:rPr>
          <w:color w:val="000000"/>
          <w:position w:val="0"/>
          <w:sz w:val="24"/>
          <w:szCs w:val="24"/>
          <w:rFonts w:ascii="仿宋" w:eastAsia="仿宋" w:hAnsi="仿宋" w:hint="default"/>
        </w:rPr>
        <w:t>全用具，并保证施工工具、器械使用安全。</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9、开工前应对施工机械、工器具及安全防护设施进行一次检查，确保符合安</w:t>
      </w:r>
      <w:r>
        <w:rPr>
          <w:color w:val="000000"/>
          <w:position w:val="0"/>
          <w:sz w:val="24"/>
          <w:szCs w:val="24"/>
          <w:rFonts w:ascii="仿宋" w:eastAsia="仿宋" w:hAnsi="仿宋" w:hint="default"/>
        </w:rPr>
        <w:t>全规定并不超过检验周期。承包人施工人员应对所在的施工区域、作业环境、</w:t>
      </w:r>
      <w:r>
        <w:rPr>
          <w:color w:val="000000"/>
          <w:position w:val="0"/>
          <w:sz w:val="24"/>
          <w:szCs w:val="24"/>
          <w:rFonts w:ascii="仿宋" w:eastAsia="仿宋" w:hAnsi="仿宋" w:hint="default"/>
        </w:rPr>
        <w:t>操作设施、设备、工器具等进行认真检查，发现隐患立即停止施工，并经落实整</w:t>
      </w:r>
      <w:r>
        <w:rPr>
          <w:color w:val="000000"/>
          <w:position w:val="0"/>
          <w:sz w:val="24"/>
          <w:szCs w:val="24"/>
          <w:rFonts w:ascii="仿宋" w:eastAsia="仿宋" w:hAnsi="仿宋" w:hint="default"/>
        </w:rPr>
        <w:t>改后方准继续施工。在施工期间所使用的各种设备及工用具等均应符合施工要</w:t>
      </w:r>
      <w:r>
        <w:rPr>
          <w:color w:val="000000"/>
          <w:position w:val="0"/>
          <w:sz w:val="24"/>
          <w:szCs w:val="24"/>
          <w:rFonts w:ascii="仿宋" w:eastAsia="仿宋" w:hAnsi="仿宋" w:hint="default"/>
        </w:rPr>
        <w:t>求。对施工现场脚手架每天开工前须派专人进行检查，发现隐患应及时整改。各</w:t>
      </w:r>
      <w:r>
        <w:rPr>
          <w:color w:val="000000"/>
          <w:position w:val="0"/>
          <w:sz w:val="24"/>
          <w:szCs w:val="24"/>
          <w:rFonts w:ascii="仿宋" w:eastAsia="仿宋" w:hAnsi="仿宋" w:hint="default"/>
        </w:rPr>
        <w:t>类安全防护设施、遮栏、安全标志牌、警告牌和接地线等承包人不得擅自拆除</w:t>
      </w:r>
      <w:r>
        <w:rPr>
          <w:color w:val="000000"/>
          <w:position w:val="0"/>
          <w:sz w:val="24"/>
          <w:szCs w:val="24"/>
          <w:rFonts w:ascii="仿宋" w:eastAsia="仿宋" w:hAnsi="仿宋" w:hint="default"/>
        </w:rPr>
        <w:t>、更改。</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10、承包人承建的项目，禁止再行转包，非主体工程需要分包的，必须报发</w:t>
      </w:r>
      <w:r>
        <w:rPr>
          <w:color w:val="000000"/>
          <w:position w:val="0"/>
          <w:sz w:val="24"/>
          <w:szCs w:val="24"/>
          <w:rFonts w:ascii="仿宋" w:eastAsia="仿宋" w:hAnsi="仿宋" w:hint="default"/>
        </w:rPr>
        <w:t>包方工程部书面批准。总包方必须对分包方进行安全管理与监督，分包工程发生</w:t>
      </w:r>
      <w:r>
        <w:rPr>
          <w:color w:val="000000"/>
          <w:position w:val="0"/>
          <w:sz w:val="24"/>
          <w:szCs w:val="24"/>
          <w:rFonts w:ascii="仿宋" w:eastAsia="仿宋" w:hAnsi="仿宋" w:hint="default"/>
        </w:rPr>
        <w:t>安全事故时，总包单位与分包单位承担连带责任。</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11、应按《中华人民共和国劳动法》等法律、法规、规定用工，严禁使用</w:t>
      </w:r>
      <w:r>
        <w:rPr>
          <w:color w:val="000000"/>
          <w:position w:val="0"/>
          <w:sz w:val="24"/>
          <w:szCs w:val="24"/>
          <w:rFonts w:ascii="仿宋" w:eastAsia="仿宋" w:hAnsi="仿宋" w:hint="default"/>
        </w:rPr>
        <w:t>未成年工和有职业禁忌的人员进行施工作业。</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12、承包人应对工作地段采取的安全技术措施、工作班人员状态以及施工中</w:t>
      </w:r>
      <w:r>
        <w:rPr>
          <w:color w:val="000000"/>
          <w:position w:val="0"/>
          <w:sz w:val="24"/>
          <w:szCs w:val="24"/>
          <w:rFonts w:ascii="仿宋" w:eastAsia="仿宋" w:hAnsi="仿宋" w:hint="default"/>
        </w:rPr>
        <w:t>的安全责任负责；如因承包人采取的安全措施不当、违反有关安全规程、规定及</w:t>
      </w:r>
      <w:r>
        <w:rPr>
          <w:color w:val="000000"/>
          <w:position w:val="0"/>
          <w:sz w:val="24"/>
          <w:szCs w:val="24"/>
          <w:rFonts w:ascii="仿宋" w:eastAsia="仿宋" w:hAnsi="仿宋" w:hint="default"/>
        </w:rPr>
        <w:t>本协议所列安全事项而造成的一切事故或对第三方造成损失的，均由承包人承</w:t>
      </w:r>
      <w:r>
        <w:rPr>
          <w:color w:val="000000"/>
          <w:position w:val="0"/>
          <w:sz w:val="24"/>
          <w:szCs w:val="24"/>
          <w:rFonts w:ascii="仿宋" w:eastAsia="仿宋" w:hAnsi="仿宋" w:hint="default"/>
        </w:rPr>
        <w:t>担所造成的经济损失及法律责任。</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13、承包人必须保证安全经费的投入，工程开工前应向承包人提交安全设施</w:t>
      </w:r>
      <w:r>
        <w:rPr>
          <w:color w:val="000000"/>
          <w:position w:val="0"/>
          <w:sz w:val="24"/>
          <w:szCs w:val="24"/>
          <w:rFonts w:ascii="仿宋" w:eastAsia="仿宋" w:hAnsi="仿宋" w:hint="default"/>
        </w:rPr>
        <w:t>投入计划。</w:t>
      </w:r>
    </w:p>
    <w:p>
      <w:pPr>
        <w:numPr>
          <w:ilvl w:val="0"/>
          <w:numId w:val="0"/>
        </w:numPr>
        <w:jc w:val="both"/>
        <w:spacing w:lineRule="auto" w:line="360" w:before="0" w:after="0"/>
        <w:ind w:right="0" w:firstLine="482"/>
        <w:rPr>
          <w:b w:val="1"/>
          <w:color w:val="000000"/>
          <w:position w:val="0"/>
          <w:sz w:val="24"/>
          <w:szCs w:val="24"/>
          <w:rFonts w:ascii="仿宋" w:eastAsia="仿宋_GB2312" w:hAnsi="仿宋_GB2312" w:hint="default"/>
        </w:rPr>
        <w:snapToGrid w:val="off"/>
        <w:autoSpaceDE w:val="1"/>
        <w:autoSpaceDN w:val="1"/>
      </w:pPr>
      <w:r>
        <w:rPr>
          <w:b w:val="1"/>
          <w:color w:val="000000"/>
          <w:position w:val="0"/>
          <w:sz w:val="24"/>
          <w:szCs w:val="24"/>
          <w:rFonts w:ascii="仿宋" w:eastAsia="仿宋" w:hAnsi="仿宋" w:hint="default"/>
        </w:rPr>
        <w:t>七、其他</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1、承包人施工人员违反有关安全生产规程制度时，发包人有权予以纠正制</w:t>
      </w:r>
      <w:r>
        <w:rPr>
          <w:color w:val="000000"/>
          <w:position w:val="0"/>
          <w:sz w:val="24"/>
          <w:szCs w:val="24"/>
          <w:rFonts w:ascii="仿宋" w:eastAsia="仿宋" w:hAnsi="仿宋" w:hint="default"/>
        </w:rPr>
        <w:t>止，有权对承包人给予经济处罚，直至停止承包人的工作、解除承包合同。</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2、因承包人责任造成的安全事故，由发包人按事故调查规程处理。根据《中</w:t>
      </w:r>
      <w:r>
        <w:rPr>
          <w:color w:val="000000"/>
          <w:position w:val="0"/>
          <w:sz w:val="24"/>
          <w:szCs w:val="24"/>
          <w:rFonts w:ascii="仿宋" w:eastAsia="仿宋" w:hAnsi="仿宋" w:hint="default"/>
        </w:rPr>
        <w:t>华人民共和国建筑法》第四十五条的规定：“施工现场安全由建筑施工企业负</w:t>
      </w:r>
      <w:r>
        <w:rPr>
          <w:color w:val="000000"/>
          <w:position w:val="0"/>
          <w:sz w:val="24"/>
          <w:szCs w:val="24"/>
          <w:rFonts w:ascii="仿宋" w:eastAsia="仿宋" w:hAnsi="仿宋" w:hint="default"/>
        </w:rPr>
        <w:t>责”，因承包人的责任造成的人身伤亡、设备损坏事故及其造成的经济损失,一</w:t>
      </w:r>
      <w:r>
        <w:rPr>
          <w:color w:val="000000"/>
          <w:position w:val="0"/>
          <w:sz w:val="24"/>
          <w:szCs w:val="24"/>
          <w:rFonts w:ascii="仿宋" w:eastAsia="仿宋" w:hAnsi="仿宋" w:hint="default"/>
        </w:rPr>
        <w:t>切责任由承包人承担，并通知有关政府部门调查处理、统计上报。</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3、本协议执行过程中，如发生争议，由双方协商、调解解决；若经协商、</w:t>
      </w:r>
      <w:r>
        <w:rPr>
          <w:color w:val="000000"/>
          <w:position w:val="0"/>
          <w:sz w:val="24"/>
          <w:szCs w:val="24"/>
          <w:rFonts w:ascii="仿宋" w:eastAsia="仿宋" w:hAnsi="仿宋" w:hint="default"/>
        </w:rPr>
        <w:t>调解不能解决争议的，任何一方可以向恩施市人民法院提起诉讼。</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r>
        <w:rPr>
          <w:color w:val="000000"/>
          <w:position w:val="0"/>
          <w:sz w:val="24"/>
          <w:szCs w:val="24"/>
          <w:rFonts w:ascii="仿宋" w:eastAsia="仿宋" w:hAnsi="仿宋" w:hint="default"/>
        </w:rPr>
        <w:t>4、发、承包双方必须严格执行本协议，本协议的法律效力独立于主合同。</w:t>
      </w:r>
    </w:p>
    <w:p>
      <w:pPr>
        <w:numPr>
          <w:ilvl w:val="0"/>
          <w:numId w:val="0"/>
        </w:numPr>
        <w:jc w:val="both"/>
        <w:spacing w:lineRule="auto" w:line="360" w:before="0" w:after="0"/>
        <w:ind w:right="0" w:firstLine="480"/>
        <w:rPr>
          <w:color w:val="000000"/>
          <w:position w:val="0"/>
          <w:sz w:val="24"/>
          <w:szCs w:val="24"/>
          <w:rFonts w:ascii="仿宋" w:eastAsia="仿宋_GB2312" w:hAnsi="仿宋_GB2312" w:hint="default"/>
        </w:rPr>
        <w:snapToGrid w:val="off"/>
        <w:autoSpaceDE w:val="1"/>
        <w:autoSpaceDN w:val="1"/>
      </w:pPr>
    </w:p>
    <w:tbl>
      <w:tblPr>
        <w:tblpPr w:leftFromText="180" w:rightFromText="180" w:vertAnchor="text" w:horzAnchor="page" w:tblpX="1715" w:tblpY="1308"/>
        <w:tblOverlap w:val="never"/>
        <w:tblCellMar>
          <w:left w:w="108" w:type="dxa"/>
          <w:top w:w="0" w:type="dxa"/>
          <w:right w:w="108" w:type="dxa"/>
          <w:bottom w:w="0" w:type="dxa"/>
        </w:tblCellMar>
        <w:tblW w:w="0" w:type="auto"/>
        <w:tblLook w:val="0004A0" w:firstRow="1" w:lastRow="0" w:firstColumn="1" w:lastColumn="0" w:noHBand="0" w:noVBand="1"/>
        <w:tblLayout w:type="auto"/>
      </w:tblPr>
      <w:tblGrid>
        <w:gridCol w:w="1512"/>
        <w:gridCol w:w="2908"/>
        <w:gridCol w:w="1547"/>
        <w:gridCol w:w="2873"/>
      </w:tblGrid>
      <w:tr>
        <w:trPr>
          <w:trHeight w:hRule="atleast" w:val="842"/>
        </w:trPr>
        <w:tc>
          <w:tcPr>
            <w:tcW w:type="dxa" w:w="1512"/>
            <w:vAlign w:val="center"/>
          </w:tcPr>
          <w:p>
            <w:pPr>
              <w:numPr>
                <w:ilvl w:val="0"/>
                <w:numId w:val="0"/>
              </w:numPr>
              <w:jc w:val="left"/>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发包人</w:t>
            </w:r>
          </w:p>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(盖章)：</w:t>
            </w:r>
          </w:p>
        </w:tc>
        <w:tc>
          <w:tcPr>
            <w:tcW w:type="dxa" w:w="2908"/>
            <w:vAlign w:val="center"/>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p>
        </w:tc>
        <w:tc>
          <w:tcPr>
            <w:tcW w:type="dxa" w:w="1547"/>
            <w:vAlign w:val="center"/>
          </w:tcPr>
          <w:p>
            <w:pPr>
              <w:numPr>
                <w:ilvl w:val="0"/>
                <w:numId w:val="0"/>
              </w:numPr>
              <w:jc w:val="left"/>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承包人</w:t>
            </w:r>
          </w:p>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(盖章)：</w:t>
            </w:r>
          </w:p>
        </w:tc>
        <w:tc>
          <w:tcPr>
            <w:tcW w:type="dxa" w:w="2873"/>
            <w:vAlign w:val="center"/>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p>
        </w:tc>
      </w:tr>
      <w:tr>
        <w:trPr>
          <w:trHeight w:hRule="atleast" w:val="494"/>
        </w:trPr>
        <w:tc>
          <w:tcPr>
            <w:tcW w:type="dxa" w:w="4420"/>
            <w:vAlign w:val="center"/>
            <w:gridSpan w:val="2"/>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法定代表人或</w:t>
            </w:r>
          </w:p>
        </w:tc>
        <w:tc>
          <w:tcPr>
            <w:tcW w:type="dxa" w:w="4420"/>
            <w:vAlign w:val="center"/>
            <w:gridSpan w:val="2"/>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法定代表人或</w:t>
            </w:r>
          </w:p>
        </w:tc>
      </w:tr>
      <w:tr>
        <w:trPr>
          <w:trHeight w:hRule="atleast" w:val="674"/>
        </w:trPr>
        <w:tc>
          <w:tcPr>
            <w:tcW w:type="dxa" w:w="4420"/>
            <w:vAlign w:val="center"/>
            <w:gridSpan w:val="2"/>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授权代理人（签字或盖章）：</w:t>
            </w:r>
          </w:p>
        </w:tc>
        <w:tc>
          <w:tcPr>
            <w:tcW w:type="dxa" w:w="4420"/>
            <w:vAlign w:val="center"/>
            <w:gridSpan w:val="2"/>
          </w:tcPr>
          <w:p>
            <w:pPr>
              <w:numPr>
                <w:ilvl w:val="0"/>
                <w:numId w:val="0"/>
              </w:numPr>
              <w:jc w:val="both"/>
              <w:spacing w:lineRule="auto" w:line="360" w:before="0" w:after="200"/>
              <w:ind w:right="0" w:firstLine="0"/>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授权代理人（签字或盖章）：</w:t>
            </w:r>
          </w:p>
        </w:tc>
      </w:tr>
      <w:tr>
        <w:trPr>
          <w:trHeight w:hRule="atleast" w:val="385"/>
        </w:trPr>
        <w:tc>
          <w:tcPr>
            <w:tcW w:type="dxa" w:w="4420"/>
            <w:vAlign w:val="center"/>
            <w:gridSpan w:val="2"/>
          </w:tcPr>
          <w:p>
            <w:pPr>
              <w:numPr>
                <w:ilvl w:val="0"/>
                <w:numId w:val="0"/>
              </w:numPr>
              <w:jc w:val="left"/>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p>
          <w:p>
            <w:pPr>
              <w:numPr>
                <w:ilvl w:val="0"/>
                <w:numId w:val="0"/>
              </w:numPr>
              <w:jc w:val="left"/>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p>
          <w:p>
            <w:pPr>
              <w:numPr>
                <w:ilvl w:val="0"/>
                <w:numId w:val="0"/>
              </w:numPr>
              <w:jc w:val="both"/>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 xml:space="preserve">年    月    日</w:t>
            </w:r>
          </w:p>
        </w:tc>
        <w:tc>
          <w:tcPr>
            <w:tcW w:type="dxa" w:w="4420"/>
            <w:vAlign w:val="center"/>
            <w:gridSpan w:val="2"/>
          </w:tcPr>
          <w:p>
            <w:pPr>
              <w:numPr>
                <w:ilvl w:val="0"/>
                <w:numId w:val="0"/>
              </w:numPr>
              <w:jc w:val="left"/>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p>
          <w:p>
            <w:pPr>
              <w:numPr>
                <w:ilvl w:val="0"/>
                <w:numId w:val="0"/>
              </w:numPr>
              <w:jc w:val="left"/>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p>
          <w:p>
            <w:pPr>
              <w:numPr>
                <w:ilvl w:val="0"/>
                <w:numId w:val="0"/>
              </w:numPr>
              <w:jc w:val="both"/>
              <w:spacing w:lineRule="auto" w:line="360" w:before="0" w:after="200"/>
              <w:ind w:right="0" w:firstLine="1235"/>
              <w:rPr>
                <w:color w:val="auto"/>
                <w:position w:val="0"/>
                <w:sz w:val="28"/>
                <w:szCs w:val="28"/>
                <w:rFonts w:ascii="仿宋" w:eastAsia="仿宋_GB2312" w:hAnsi="仿宋_GB2312" w:hint="default"/>
              </w:rPr>
              <w:snapToGrid w:val="off"/>
              <w:autoSpaceDE w:val="1"/>
              <w:autoSpaceDN w:val="1"/>
            </w:pPr>
            <w:r>
              <w:rPr>
                <w:color w:val="auto"/>
                <w:position w:val="0"/>
                <w:sz w:val="28"/>
                <w:szCs w:val="28"/>
                <w:rFonts w:ascii="仿宋" w:eastAsia="仿宋" w:hAnsi="仿宋" w:hint="default"/>
              </w:rPr>
              <w:t xml:space="preserve">年    月    日</w:t>
            </w:r>
          </w:p>
        </w:tc>
      </w:tr>
    </w:tbl>
    <w:p>
      <w:pPr>
        <w:numPr>
          <w:ilvl w:val="0"/>
          <w:numId w:val="0"/>
        </w:numPr>
        <w:jc w:val="left"/>
        <w:spacing w:lineRule="auto" w:line="360" w:before="0" w:after="200"/>
        <w:ind w:right="0" w:firstLine="560"/>
        <w:rPr>
          <w:color w:val="000000"/>
          <w:position w:val="0"/>
          <w:sz w:val="28"/>
          <w:szCs w:val="28"/>
          <w:rFonts w:ascii="仿宋" w:eastAsia="Times New Roman" w:hAnsi="Times New Roman" w:hint="default"/>
        </w:rPr>
        <w:snapToGrid w:val="off"/>
        <w:autoSpaceDE w:val="1"/>
        <w:autoSpaceDN w:val="1"/>
      </w:pPr>
      <w:r>
        <w:rPr>
          <w:color w:val="000000"/>
          <w:position w:val="0"/>
          <w:sz w:val="28"/>
          <w:szCs w:val="28"/>
          <w:rFonts w:ascii="仿宋" w:eastAsia="仿宋" w:hAnsi="仿宋" w:hint="default"/>
        </w:rPr>
        <w:t>5、本协议经双方法定代表人或委托代理人签字盖章后生效。</w:t>
      </w:r>
    </w:p>
    <w:p>
      <w:pPr>
        <w:numPr>
          <w:ilvl w:val="0"/>
          <w:numId w:val="0"/>
        </w:numPr>
        <w:jc w:val="left"/>
        <w:spacing w:lineRule="exact" w:line="440" w:before="0" w:after="200"/>
        <w:ind w:right="0" w:firstLine="0"/>
        <w:rPr>
          <w:color w:val="auto"/>
          <w:position w:val="0"/>
          <w:sz w:val="20"/>
          <w:szCs w:val="20"/>
          <w:rFonts w:ascii="仿宋" w:eastAsia="仿宋" w:hAnsi="仿宋" w:hint="default"/>
        </w:rPr>
        <w:snapToGrid w:val="off"/>
        <w:autoSpaceDE w:val="1"/>
        <w:autoSpaceDN w:val="1"/>
      </w:pPr>
    </w:p>
    <w:p>
      <w:pPr>
        <w:pStyle w:val="PO7"/>
        <w:numPr>
          <w:ilvl w:val="0"/>
          <w:numId w:val="0"/>
        </w:numPr>
        <w:jc w:val="center"/>
        <w:spacing w:lineRule="auto" w:line="576" w:before="340" w:after="330"/>
        <w:ind w:right="0" w:firstLine="0"/>
        <w:rPr>
          <w:b w:val="1"/>
          <w:color w:val="auto"/>
          <w:position w:val="0"/>
          <w:sz w:val="28"/>
          <w:szCs w:val="28"/>
          <w:rFonts w:ascii="宋体" w:eastAsia="宋体" w:hAnsi="宋体" w:hint="default"/>
        </w:rPr>
        <w:outlineLvl w:val="0"/>
        <w:snapToGrid w:val="on"/>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p>
      <w:pPr>
        <w:pStyle w:val="PO7"/>
        <w:numPr>
          <w:ilvl w:val="0"/>
          <w:numId w:val="0"/>
        </w:numPr>
        <w:jc w:val="center"/>
        <w:spacing w:lineRule="auto" w:line="576" w:before="340" w:after="330"/>
        <w:ind w:right="0" w:firstLine="0"/>
        <w:rPr>
          <w:b w:val="0"/>
          <w:color w:val="auto"/>
          <w:position w:val="0"/>
          <w:sz w:val="28"/>
          <w:szCs w:val="28"/>
          <w:rFonts w:ascii="宋体" w:eastAsia="宋体" w:hAnsi="宋体" w:hint="default"/>
        </w:rPr>
        <w:outlineLvl w:val="0"/>
        <w:snapToGrid w:val="on"/>
        <w:autoSpaceDE w:val="1"/>
        <w:autoSpaceDN w:val="1"/>
      </w:pPr>
      <w:r>
        <w:rPr>
          <w:b w:val="1"/>
          <w:color w:val="auto"/>
          <w:position w:val="0"/>
          <w:sz w:val="28"/>
          <w:szCs w:val="28"/>
          <w:rFonts w:ascii="宋体" w:eastAsia="Times New Roman" w:hAnsi="Times New Roman" w:hint="default"/>
        </w:rPr>
        <w:t xml:space="preserve">第五章  谈判响应文件格式</w:t>
      </w:r>
      <w:bookmarkEnd w:id="587"/>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1.响应文件封面格式</w:t>
      </w: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32"/>
          <w:szCs w:val="32"/>
          <w:rFonts w:ascii="宋体" w:eastAsia="宋体" w:hAnsi="宋体" w:hint="default"/>
        </w:rPr>
        <w:snapToGrid w:val="off"/>
        <w:autoSpaceDE w:val="1"/>
        <w:autoSpaceDN w:val="1"/>
      </w:pPr>
      <w:r>
        <w:rPr>
          <w:b w:val="1"/>
          <w:color w:val="auto"/>
          <w:position w:val="0"/>
          <w:sz w:val="32"/>
          <w:szCs w:val="32"/>
          <w:rFonts w:ascii="宋体" w:eastAsia="宋体" w:hAnsi="宋体" w:hint="default"/>
        </w:rPr>
        <w:t>小楼门星级厕所改建工程</w:t>
      </w:r>
    </w:p>
    <w:p>
      <w:pPr>
        <w:numPr>
          <w:ilvl w:val="0"/>
          <w:numId w:val="0"/>
        </w:numPr>
        <w:jc w:val="center"/>
        <w:spacing w:lineRule="atLeast" w:line="220" w:before="0" w:after="200"/>
        <w:ind w:right="0" w:firstLine="0"/>
        <w:rPr>
          <w:b w:val="1"/>
          <w:color w:val="auto"/>
          <w:position w:val="0"/>
          <w:sz w:val="32"/>
          <w:szCs w:val="32"/>
          <w:rFonts w:ascii="宋体" w:eastAsia="宋体" w:hAnsi="宋体" w:hint="default"/>
        </w:rPr>
        <w:snapToGrid w:val="off"/>
        <w:autoSpaceDE w:val="1"/>
        <w:autoSpaceDN w:val="1"/>
      </w:pPr>
      <w:r>
        <w:rPr>
          <w:b w:val="1"/>
          <w:color w:val="auto"/>
          <w:position w:val="0"/>
          <w:sz w:val="32"/>
          <w:szCs w:val="32"/>
          <w:rFonts w:ascii="宋体" w:eastAsia="宋体" w:hAnsi="宋体" w:hint="default"/>
        </w:rPr>
        <w:t>竞争性谈判</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响</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应</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文</w:t>
      </w: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44"/>
          <w:szCs w:val="44"/>
          <w:rFonts w:ascii="宋体" w:eastAsia="宋体" w:hAnsi="宋体" w:hint="default"/>
        </w:rPr>
        <w:snapToGrid w:val="off"/>
        <w:autoSpaceDE w:val="1"/>
        <w:autoSpaceDN w:val="1"/>
      </w:pPr>
      <w:r>
        <w:rPr>
          <w:b w:val="1"/>
          <w:color w:val="auto"/>
          <w:position w:val="0"/>
          <w:sz w:val="44"/>
          <w:szCs w:val="44"/>
          <w:rFonts w:ascii="宋体" w:eastAsia="宋体" w:hAnsi="宋体" w:hint="default"/>
        </w:rPr>
        <w:t>件</w:t>
      </w: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r>
        <w:rPr>
          <w:b w:val="1"/>
          <w:color w:val="auto"/>
          <w:position w:val="0"/>
          <w:sz w:val="28"/>
          <w:szCs w:val="28"/>
          <w:rFonts w:ascii="宋体" w:eastAsia="宋体" w:hAnsi="宋体" w:hint="default"/>
        </w:rPr>
        <w:t>投标人：（全称并盖章）</w:t>
      </w:r>
    </w:p>
    <w:p>
      <w:pPr>
        <w:numPr>
          <w:ilvl w:val="0"/>
          <w:numId w:val="0"/>
        </w:numPr>
        <w:jc w:val="left"/>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r>
        <w:rPr>
          <w:b w:val="1"/>
          <w:color w:val="auto"/>
          <w:position w:val="0"/>
          <w:sz w:val="28"/>
          <w:szCs w:val="28"/>
          <w:rFonts w:ascii="宋体" w:eastAsia="宋体" w:hAnsi="宋体" w:hint="default"/>
        </w:rPr>
        <w:t>法定代表人或其委托代理人：（签字）</w:t>
      </w: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r>
        <w:rPr>
          <w:b w:val="1"/>
          <w:color w:val="auto"/>
          <w:position w:val="0"/>
          <w:sz w:val="28"/>
          <w:szCs w:val="28"/>
          <w:u w:val="single"/>
          <w:rFonts w:ascii="宋体" w:eastAsia="宋体" w:hAnsi="宋体" w:hint="default"/>
        </w:rPr>
        <w:t xml:space="preserve">       </w:t>
      </w:r>
      <w:r>
        <w:rPr>
          <w:b w:val="1"/>
          <w:color w:val="auto"/>
          <w:position w:val="0"/>
          <w:sz w:val="28"/>
          <w:szCs w:val="28"/>
          <w:rFonts w:ascii="宋体" w:eastAsia="宋体" w:hAnsi="宋体" w:hint="default"/>
        </w:rPr>
        <w:t>年</w:t>
      </w:r>
      <w:r>
        <w:rPr>
          <w:b w:val="1"/>
          <w:color w:val="auto"/>
          <w:position w:val="0"/>
          <w:sz w:val="28"/>
          <w:szCs w:val="28"/>
          <w:u w:val="single"/>
          <w:rFonts w:ascii="宋体" w:eastAsia="宋体" w:hAnsi="宋体" w:hint="default"/>
        </w:rPr>
        <w:t xml:space="preserve">   </w:t>
      </w:r>
      <w:r>
        <w:rPr>
          <w:b w:val="1"/>
          <w:color w:val="auto"/>
          <w:position w:val="0"/>
          <w:sz w:val="28"/>
          <w:szCs w:val="28"/>
          <w:rFonts w:ascii="宋体" w:eastAsia="宋体" w:hAnsi="宋体" w:hint="default"/>
        </w:rPr>
        <w:t>月</w:t>
      </w:r>
      <w:r>
        <w:rPr>
          <w:b w:val="1"/>
          <w:color w:val="auto"/>
          <w:position w:val="0"/>
          <w:sz w:val="28"/>
          <w:szCs w:val="28"/>
          <w:u w:val="single"/>
          <w:rFonts w:ascii="宋体" w:eastAsia="宋体" w:hAnsi="宋体" w:hint="default"/>
        </w:rPr>
        <w:t xml:space="preserve">   </w:t>
      </w:r>
      <w:r>
        <w:rPr>
          <w:b w:val="1"/>
          <w:color w:val="auto"/>
          <w:position w:val="0"/>
          <w:sz w:val="28"/>
          <w:szCs w:val="28"/>
          <w:rFonts w:ascii="宋体" w:eastAsia="宋体" w:hAnsi="宋体" w:hint="default"/>
        </w:rPr>
        <w:t>日</w:t>
      </w:r>
    </w:p>
    <w:p>
      <w:pPr>
        <w:numPr>
          <w:ilvl w:val="0"/>
          <w:numId w:val="0"/>
        </w:numPr>
        <w:jc w:val="center"/>
        <w:spacing w:lineRule="atLeast" w:line="220" w:before="0" w:after="200"/>
        <w:ind w:right="0" w:firstLine="0"/>
        <w:rPr>
          <w:b w:val="1"/>
          <w:color w:val="auto"/>
          <w:position w:val="0"/>
          <w:sz w:val="28"/>
          <w:szCs w:val="28"/>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2.截取挂网公告放于响应文件首页</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center"/>
        <w:spacing w:lineRule="atLeast" w:line="220" w:before="0" w:after="200"/>
        <w:ind w:right="0" w:firstLine="0"/>
        <w:rPr>
          <w:color w:val="auto"/>
          <w:position w:val="0"/>
          <w:sz w:val="28"/>
          <w:szCs w:val="28"/>
          <w:rFonts w:ascii="微软雅黑" w:eastAsia="微软雅黑" w:hAnsi="微软雅黑" w:hint="default"/>
        </w:rPr>
        <w:snapToGrid w:val="off"/>
        <w:autoSpaceDE w:val="1"/>
        <w:autoSpaceDN w:val="1"/>
      </w:pPr>
      <w:r>
        <w:rPr>
          <w:color w:val="auto"/>
          <w:position w:val="0"/>
          <w:sz w:val="28"/>
          <w:szCs w:val="28"/>
          <w:rFonts w:ascii="微软雅黑" w:eastAsia="Tahoma" w:hAnsi="Tahoma" w:hint="default"/>
        </w:rPr>
        <w:t>挂网公告</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3.投标报价文件格式</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3.1投标函格式</w:t>
      </w:r>
    </w:p>
    <w:p>
      <w:pPr>
        <w:numPr>
          <w:ilvl w:val="0"/>
          <w:numId w:val="0"/>
        </w:numPr>
        <w:jc w:val="center"/>
        <w:spacing w:lineRule="auto" w:line="360" w:before="0" w:after="0"/>
        <w:ind w:right="0" w:firstLine="0"/>
        <w:rPr>
          <w:b w:val="1"/>
          <w:color w:val="auto"/>
          <w:position w:val="0"/>
          <w:sz w:val="32"/>
          <w:szCs w:val="32"/>
          <w:rFonts w:ascii="宋体" w:eastAsia="宋体" w:hAnsi="宋体" w:hint="default"/>
        </w:rPr>
        <w:snapToGrid w:val="off"/>
        <w:autoSpaceDE w:val="1"/>
        <w:autoSpaceDN w:val="1"/>
      </w:pPr>
      <w:r>
        <w:rPr>
          <w:b w:val="1"/>
          <w:color w:val="auto"/>
          <w:position w:val="0"/>
          <w:sz w:val="32"/>
          <w:szCs w:val="32"/>
          <w:rFonts w:ascii="宋体" w:eastAsia="宋体" w:hAnsi="宋体" w:hint="default"/>
        </w:rPr>
        <w:t xml:space="preserve">投 标 函</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致：</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（采购人）</w:t>
      </w:r>
    </w:p>
    <w:p>
      <w:pPr>
        <w:numPr>
          <w:ilvl w:val="0"/>
          <w:numId w:val="0"/>
        </w:numPr>
        <w:jc w:val="left"/>
        <w:spacing w:lineRule="auto" w:line="360" w:before="0" w:after="0"/>
        <w:ind w:right="0" w:firstLine="465"/>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根据贵方</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项目的谈判公告及谈判文件，</w:t>
      </w:r>
      <w:r>
        <w:rPr>
          <w:color w:val="auto"/>
          <w:position w:val="0"/>
          <w:sz w:val="24"/>
          <w:szCs w:val="24"/>
          <w:rFonts w:ascii="宋体" w:eastAsia="宋体" w:hAnsi="宋体" w:hint="default"/>
        </w:rPr>
        <w:t>我方签字代表</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（姓名）经正式授权并代表投标人</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（投标人全称）提交本项目的投标响应文件：正本一份、副本四份。</w:t>
      </w:r>
    </w:p>
    <w:p>
      <w:pPr>
        <w:numPr>
          <w:ilvl w:val="0"/>
          <w:numId w:val="0"/>
        </w:numPr>
        <w:jc w:val="left"/>
        <w:spacing w:lineRule="auto" w:line="240" w:before="0" w:after="200"/>
        <w:ind w:left="440"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愿意按照竞争性谈判文件中的一切要求，提供工程施工和服务，报价为：</w:t>
      </w:r>
      <w:r>
        <w:rPr>
          <w:color w:val="auto"/>
          <w:position w:val="0"/>
          <w:sz w:val="24"/>
          <w:szCs w:val="24"/>
          <w:rFonts w:ascii="宋体" w:eastAsia="宋体" w:hAnsi="宋体" w:hint="default"/>
        </w:rPr>
        <w:t>人民币大写：</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元整；人民币小写RMB：</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元。</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据此函，我方承诺如下：</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1.我方已详细审查全部“谈判文件”，包括修改文件以及全部参考资料和</w:t>
      </w:r>
      <w:r>
        <w:rPr>
          <w:color w:val="auto"/>
          <w:position w:val="0"/>
          <w:sz w:val="24"/>
          <w:szCs w:val="24"/>
          <w:rFonts w:ascii="宋体" w:eastAsia="宋体" w:hAnsi="宋体" w:hint="default"/>
        </w:rPr>
        <w:t>有关附件，已经了解我方对于谈判文件、采购过程、采购结果有依法进行询问</w:t>
      </w:r>
      <w:r>
        <w:rPr>
          <w:color w:val="auto"/>
          <w:position w:val="0"/>
          <w:sz w:val="24"/>
          <w:szCs w:val="24"/>
          <w:rFonts w:ascii="宋体" w:eastAsia="宋体" w:hAnsi="宋体" w:hint="default"/>
        </w:rPr>
        <w:t>、质疑、投诉的权利及相关渠道和要求。</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2.我方完全理解并接受谈判文件的各项规定和要求，对谈判文件的合理性、</w:t>
      </w:r>
      <w:r>
        <w:rPr>
          <w:color w:val="auto"/>
          <w:position w:val="0"/>
          <w:sz w:val="24"/>
          <w:szCs w:val="24"/>
          <w:rFonts w:ascii="宋体" w:eastAsia="宋体" w:hAnsi="宋体" w:hint="default"/>
        </w:rPr>
        <w:t>合法性不再有异议。</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3.我方愿意按照谈判文件规定的各项要求，向采购人提供合格的服务。</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4.我方同意从谈判文件规定的开标日期起遵循本投标响应文件，并在谈判</w:t>
      </w:r>
      <w:r>
        <w:rPr>
          <w:color w:val="auto"/>
          <w:position w:val="0"/>
          <w:sz w:val="24"/>
          <w:szCs w:val="24"/>
          <w:rFonts w:ascii="宋体" w:eastAsia="宋体" w:hAnsi="宋体" w:hint="default"/>
        </w:rPr>
        <w:t>文件规定的谈判有效期内均具有约束力。</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5.如我方中标，本响应文件至本项目合同履行完毕止均保持有效，本投标</w:t>
      </w:r>
      <w:r>
        <w:rPr>
          <w:color w:val="auto"/>
          <w:position w:val="0"/>
          <w:sz w:val="24"/>
          <w:szCs w:val="24"/>
          <w:rFonts w:ascii="宋体" w:eastAsia="宋体" w:hAnsi="宋体" w:hint="default"/>
        </w:rPr>
        <w:t>人将按“谈判文件”及法律、法规的规定履行合同责任和义务。</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6.我方同意按照贵方要求提供与投标有关的一切数据或资料。</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7.与本投标有关的一切正式往来信函请寄：</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地址：</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 xml:space="preserve"> 邮编：</w:t>
      </w:r>
      <w:r>
        <w:rPr>
          <w:color w:val="auto"/>
          <w:position w:val="0"/>
          <w:sz w:val="24"/>
          <w:szCs w:val="24"/>
          <w:u w:val="single"/>
          <w:rFonts w:ascii="宋体" w:eastAsia="宋体" w:hAnsi="宋体" w:hint="default"/>
        </w:rPr>
        <w:t xml:space="preserve">                      </w:t>
      </w:r>
    </w:p>
    <w:p>
      <w:pPr>
        <w:numPr>
          <w:ilvl w:val="0"/>
          <w:numId w:val="0"/>
        </w:numPr>
        <w:jc w:val="left"/>
        <w:spacing w:lineRule="auto" w:line="360" w:before="0" w:after="0"/>
        <w:ind w:right="0" w:firstLine="0"/>
        <w:rPr>
          <w:color w:val="auto"/>
          <w:position w:val="0"/>
          <w:sz w:val="24"/>
          <w:szCs w:val="24"/>
          <w:u w:val="single"/>
          <w:rFonts w:ascii="宋体" w:eastAsia="宋体" w:hAnsi="宋体" w:hint="default"/>
        </w:rPr>
        <w:snapToGrid w:val="off"/>
        <w:autoSpaceDE w:val="1"/>
        <w:autoSpaceDN w:val="1"/>
      </w:pPr>
      <w:r>
        <w:rPr>
          <w:color w:val="auto"/>
          <w:position w:val="0"/>
          <w:sz w:val="24"/>
          <w:szCs w:val="24"/>
          <w:rFonts w:ascii="宋体" w:eastAsia="宋体" w:hAnsi="宋体" w:hint="default"/>
        </w:rPr>
        <w:t>电话：</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传真：</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电子信箱：</w:t>
      </w:r>
      <w:r>
        <w:rPr>
          <w:color w:val="auto"/>
          <w:position w:val="0"/>
          <w:sz w:val="24"/>
          <w:szCs w:val="24"/>
          <w:u w:val="single"/>
          <w:rFonts w:ascii="宋体" w:eastAsia="宋体" w:hAnsi="宋体" w:hint="default"/>
        </w:rPr>
        <w:t xml:space="preserve">                  </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投标人（公章）：</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法定代表人或委托代理人（签名）：</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日期：</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年</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月</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日</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3.2报价书</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center"/>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报价书（根据招标人提供的工程量清单报价）</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4.商务文件格式</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4.1商务文件目录</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（1）法定代表人授权委托书（格式附后）</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（2）证明投标人合格的资格文件</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（3）投标人业绩</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（4）近三年财务审计报告（2015、2016、2017，成立不足三年的根据实际情况提</w:t>
      </w:r>
      <w:r>
        <w:rPr>
          <w:color w:val="auto"/>
          <w:position w:val="0"/>
          <w:sz w:val="24"/>
          <w:szCs w:val="24"/>
          <w:rFonts w:ascii="宋体" w:eastAsia="宋体" w:hAnsi="宋体" w:hint="default"/>
        </w:rPr>
        <w:t>供）；</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（5）拟派的项目负责人及主要管理人员近三个月（自投标截止时间前推3个月）</w:t>
      </w:r>
      <w:r>
        <w:rPr>
          <w:color w:val="auto"/>
          <w:position w:val="0"/>
          <w:sz w:val="24"/>
          <w:szCs w:val="24"/>
          <w:rFonts w:ascii="宋体" w:eastAsia="宋体" w:hAnsi="宋体" w:hint="default"/>
        </w:rPr>
        <w:t>的社保明细（社保局盖章）。</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（6）投标人在参加投标活动前三年内，在经营活动中没有重大违法记录（提供</w:t>
      </w:r>
      <w:r>
        <w:rPr>
          <w:color w:val="auto"/>
          <w:position w:val="0"/>
          <w:sz w:val="24"/>
          <w:szCs w:val="24"/>
          <w:rFonts w:ascii="宋体" w:eastAsia="宋体" w:hAnsi="宋体" w:hint="default"/>
        </w:rPr>
        <w:t>书面声明）；没有不良行为记录（提供全国建筑市场监管公共服务平台查询记</w:t>
      </w:r>
      <w:r>
        <w:rPr>
          <w:color w:val="auto"/>
          <w:position w:val="0"/>
          <w:sz w:val="24"/>
          <w:szCs w:val="24"/>
          <w:rFonts w:ascii="宋体" w:eastAsia="宋体" w:hAnsi="宋体" w:hint="default"/>
        </w:rPr>
        <w:t>录截图及信用中国查询截图）。</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（7）根据《关于落实&lt;恩施州建设领域劳动者工资支付保障实施方法&gt;相关规定</w:t>
      </w:r>
      <w:r>
        <w:rPr>
          <w:color w:val="auto"/>
          <w:position w:val="0"/>
          <w:sz w:val="24"/>
          <w:szCs w:val="24"/>
          <w:rFonts w:ascii="宋体" w:eastAsia="宋体" w:hAnsi="宋体" w:hint="default"/>
        </w:rPr>
        <w:t>的意见》的补充通知（恩施州人社函[2017]35号文的规定，投标人自投标文件</w:t>
      </w:r>
      <w:r>
        <w:rPr>
          <w:color w:val="auto"/>
          <w:position w:val="0"/>
          <w:sz w:val="24"/>
          <w:szCs w:val="24"/>
          <w:rFonts w:ascii="宋体" w:eastAsia="宋体" w:hAnsi="宋体" w:hint="default"/>
        </w:rPr>
        <w:t>递交截止时，未出现因非法拖欠劳动者工资而受到行政处理处罚且在行政处理</w:t>
      </w:r>
      <w:r>
        <w:rPr>
          <w:color w:val="auto"/>
          <w:position w:val="0"/>
          <w:sz w:val="24"/>
          <w:szCs w:val="24"/>
          <w:rFonts w:ascii="宋体" w:eastAsia="宋体" w:hAnsi="宋体" w:hint="default"/>
        </w:rPr>
        <w:t>处罚期限内的或因拖欠劳动者工资经人民法院判决且未执行完毕的或未自觉履</w:t>
      </w:r>
      <w:r>
        <w:rPr>
          <w:color w:val="auto"/>
          <w:position w:val="0"/>
          <w:sz w:val="24"/>
          <w:szCs w:val="24"/>
          <w:rFonts w:ascii="宋体" w:eastAsia="宋体" w:hAnsi="宋体" w:hint="default"/>
        </w:rPr>
        <w:t>行完毕的情形（投标人应作出承诺，否则投标人的竞标将被拒绝）</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（8）投标人认为需要提交的其他材料（如有）</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4.2法定代表人授权委托书格式</w:t>
      </w:r>
    </w:p>
    <w:p>
      <w:pPr>
        <w:numPr>
          <w:ilvl w:val="0"/>
          <w:numId w:val="0"/>
        </w:numPr>
        <w:jc w:val="center"/>
        <w:spacing w:lineRule="atLeast" w:line="220" w:before="0" w:after="200"/>
        <w:ind w:right="0" w:firstLine="0"/>
        <w:rPr>
          <w:b w:val="1"/>
          <w:color w:val="auto"/>
          <w:position w:val="0"/>
          <w:sz w:val="32"/>
          <w:szCs w:val="32"/>
          <w:rFonts w:ascii="宋体" w:eastAsia="宋体" w:hAnsi="宋体" w:hint="default"/>
        </w:rPr>
        <w:snapToGrid w:val="off"/>
        <w:autoSpaceDE w:val="1"/>
        <w:autoSpaceDN w:val="1"/>
      </w:pPr>
      <w:r>
        <w:rPr>
          <w:b w:val="1"/>
          <w:color w:val="auto"/>
          <w:position w:val="0"/>
          <w:sz w:val="32"/>
          <w:szCs w:val="32"/>
          <w:rFonts w:ascii="宋体" w:eastAsia="宋体" w:hAnsi="宋体" w:hint="default"/>
        </w:rPr>
        <w:t>法定代表人授权委托书</w:t>
      </w:r>
    </w:p>
    <w:p>
      <w:pPr>
        <w:numPr>
          <w:ilvl w:val="0"/>
          <w:numId w:val="0"/>
        </w:numPr>
        <w:jc w:val="left"/>
        <w:spacing w:lineRule="atLeast" w:line="220" w:before="0" w:after="20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致：</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（采购人）</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我</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（姓名）是</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（投标人名称）</w:t>
      </w:r>
      <w:r>
        <w:rPr>
          <w:color w:val="auto"/>
          <w:position w:val="0"/>
          <w:sz w:val="24"/>
          <w:szCs w:val="24"/>
          <w:rFonts w:ascii="宋体" w:eastAsia="宋体" w:hAnsi="宋体" w:hint="default"/>
        </w:rPr>
        <w:t>的法定代表人，现授权委托本单位在职职工</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（姓名、职</w:t>
      </w:r>
      <w:r>
        <w:rPr>
          <w:color w:val="auto"/>
          <w:position w:val="0"/>
          <w:sz w:val="24"/>
          <w:szCs w:val="24"/>
          <w:rFonts w:ascii="宋体" w:eastAsia="宋体" w:hAnsi="宋体" w:hint="default"/>
        </w:rPr>
        <w:t>务）以我方的名义参加</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招标项目（编号：</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w:t>
      </w:r>
      <w:r>
        <w:rPr>
          <w:color w:val="auto"/>
          <w:position w:val="0"/>
          <w:sz w:val="24"/>
          <w:szCs w:val="24"/>
          <w:rFonts w:ascii="宋体" w:eastAsia="宋体" w:hAnsi="宋体" w:hint="default"/>
        </w:rPr>
        <w:t>的投标活动，并代表我方全权办理针对上述项目的响应文件签署、投标、开标等</w:t>
      </w:r>
      <w:r>
        <w:rPr>
          <w:color w:val="auto"/>
          <w:position w:val="0"/>
          <w:sz w:val="24"/>
          <w:szCs w:val="24"/>
          <w:rFonts w:ascii="宋体" w:eastAsia="宋体" w:hAnsi="宋体" w:hint="default"/>
        </w:rPr>
        <w:t>具体事务和签署与本投标项目相关文件。</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我方对被授权人的签名事项负全部责任。</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w:t>
      </w:r>
      <w:r>
        <w:rPr>
          <w:color w:val="auto"/>
          <w:position w:val="0"/>
          <w:sz w:val="24"/>
          <w:szCs w:val="24"/>
          <w:u w:val="single"/>
          <w:rFonts w:ascii="宋体" w:eastAsia="宋体" w:hAnsi="宋体" w:hint="default"/>
        </w:rPr>
        <w:t>在撤销授权的书面通知到达被授权人以前，本授权书一直有效</w:t>
      </w:r>
      <w:r>
        <w:rPr>
          <w:color w:val="auto"/>
          <w:position w:val="0"/>
          <w:sz w:val="24"/>
          <w:szCs w:val="24"/>
          <w:rFonts w:ascii="宋体" w:eastAsia="宋体" w:hAnsi="宋体" w:hint="default"/>
        </w:rPr>
        <w:t>。被授权人在</w:t>
      </w:r>
      <w:r>
        <w:rPr>
          <w:color w:val="auto"/>
          <w:position w:val="0"/>
          <w:sz w:val="24"/>
          <w:szCs w:val="24"/>
          <w:rFonts w:ascii="宋体" w:eastAsia="宋体" w:hAnsi="宋体" w:hint="default"/>
        </w:rPr>
        <w:t>授权书有效期内签署的所有文件不因授权的撤销而失效。</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被授权人无转委托权，特此委托。</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被授权人签名：                   法定代表人签名：</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职务：                             职务：</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u w:val="single"/>
          <w:rFonts w:ascii="宋体" w:eastAsia="宋体" w:hAnsi="宋体" w:hint="default"/>
        </w:rPr>
        <w:snapToGrid w:val="off"/>
        <w:autoSpaceDE w:val="1"/>
        <w:autoSpaceDN w:val="1"/>
      </w:pPr>
      <w:r>
        <w:rPr>
          <w:color w:val="auto"/>
          <w:position w:val="0"/>
          <w:sz w:val="24"/>
          <w:szCs w:val="24"/>
          <w:rFonts w:ascii="宋体" w:eastAsia="宋体" w:hAnsi="宋体" w:hint="default"/>
        </w:rPr>
        <w:t>被授权人身份证号码：</w:t>
      </w:r>
      <w:r>
        <w:rPr>
          <w:color w:val="auto"/>
          <w:position w:val="0"/>
          <w:sz w:val="24"/>
          <w:szCs w:val="24"/>
          <w:u w:val="single"/>
          <w:rFonts w:ascii="宋体" w:eastAsia="宋体" w:hAnsi="宋体" w:hint="default"/>
        </w:rPr>
        <w:t xml:space="preserve">                                    </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投标人公章：</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                                     </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年</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月</w:t>
      </w:r>
      <w:r>
        <w:rPr>
          <w:color w:val="auto"/>
          <w:position w:val="0"/>
          <w:sz w:val="24"/>
          <w:szCs w:val="24"/>
          <w:u w:val="single"/>
          <w:rFonts w:ascii="宋体" w:eastAsia="宋体" w:hAnsi="宋体" w:hint="default"/>
        </w:rPr>
        <w:t xml:space="preserve">   </w:t>
      </w:r>
      <w:r>
        <w:rPr>
          <w:color w:val="auto"/>
          <w:position w:val="0"/>
          <w:sz w:val="24"/>
          <w:szCs w:val="24"/>
          <w:rFonts w:ascii="宋体" w:eastAsia="宋体" w:hAnsi="宋体" w:hint="default"/>
        </w:rPr>
        <w:t>日</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4.3证明投标人合格的资格文件，包括：</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（1）企业法人营业执照或事业单位法人证书（副本复印件）；</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（2）具备建设行政主管部门核发的建筑工程总承包三级及以上资质；</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（3）项目负责人应具备房屋建筑工程二级建造师及以上资格证书；</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（4）无犯罪记录告知函；</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4.4投标人业绩。2015年1月1日以来承接的类似项目业绩（格式自拟）</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4.5近三年财务审计报告（2015、2016、2017，成立不足三年的根据实际情况提</w:t>
      </w:r>
      <w:r>
        <w:rPr>
          <w:color w:val="auto"/>
          <w:position w:val="0"/>
          <w:sz w:val="24"/>
          <w:szCs w:val="24"/>
          <w:rFonts w:ascii="宋体" w:eastAsia="宋体" w:hAnsi="宋体" w:hint="default"/>
        </w:rPr>
        <w:t>供）；</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4.6拟派的项目负责人及主要管理人员近三个月（自投标截止时间前推3个月）</w:t>
      </w:r>
      <w:r>
        <w:rPr>
          <w:color w:val="auto"/>
          <w:position w:val="0"/>
          <w:sz w:val="24"/>
          <w:szCs w:val="24"/>
          <w:rFonts w:ascii="宋体" w:eastAsia="宋体" w:hAnsi="宋体" w:hint="default"/>
        </w:rPr>
        <w:t>的社保明细（社保局盖章）。</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4.7投标人在参加投标活动前三年内，在经营活动中没有重大违法记录的书面</w:t>
      </w:r>
      <w:r>
        <w:rPr>
          <w:color w:val="auto"/>
          <w:position w:val="0"/>
          <w:sz w:val="24"/>
          <w:szCs w:val="24"/>
          <w:rFonts w:ascii="宋体" w:eastAsia="宋体" w:hAnsi="宋体" w:hint="default"/>
        </w:rPr>
        <w:t>声明；全国建筑市场监管公共服务平台诚信信息中查询的不良行为记录截图及</w:t>
      </w:r>
      <w:r>
        <w:rPr>
          <w:color w:val="auto"/>
          <w:position w:val="0"/>
          <w:sz w:val="24"/>
          <w:szCs w:val="24"/>
          <w:rFonts w:ascii="宋体" w:eastAsia="宋体" w:hAnsi="宋体" w:hint="default"/>
        </w:rPr>
        <w:t>信用中国查询截图。</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4.8不拖欠农民工工资承诺书</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4.9投标人认为需要提交的其他材料（如有）</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注：以上材料中谈判文件规定需在开标会上提供原件的，除在响应文件中提供</w:t>
      </w:r>
      <w:r>
        <w:rPr>
          <w:color w:val="auto"/>
          <w:position w:val="0"/>
          <w:sz w:val="24"/>
          <w:szCs w:val="24"/>
          <w:rFonts w:ascii="宋体" w:eastAsia="宋体" w:hAnsi="宋体" w:hint="default"/>
        </w:rPr>
        <w:t>相关材料复印件以外，还需在开标会上提供原件。</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5.技术文件格式（封面格式自拟）</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5.1技术文件目录</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（1）机构设置及主要人员情况介绍（格式自拟）；</w:t>
      </w:r>
    </w:p>
    <w:p>
      <w:pPr>
        <w:numPr>
          <w:ilvl w:val="0"/>
          <w:numId w:val="0"/>
        </w:numPr>
        <w:jc w:val="both"/>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 xml:space="preserve">（2）施工组织设计或施工方案（格式自拟）； </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（3）投标人需要说明的其他文件和说明（如有）。</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5.2施工组织设计或施工方案（格式自拟）。应当包括：总体布置及工期安排、</w:t>
      </w:r>
      <w:r>
        <w:rPr>
          <w:color w:val="auto"/>
          <w:position w:val="0"/>
          <w:sz w:val="24"/>
          <w:szCs w:val="24"/>
          <w:rFonts w:ascii="宋体" w:eastAsia="宋体" w:hAnsi="宋体" w:hint="default"/>
        </w:rPr>
        <w:t>工期保证措施、质量目标、安全施工措施、环境保护措施、文明施工等内容。</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r>
        <w:rPr>
          <w:color w:val="auto"/>
          <w:position w:val="0"/>
          <w:sz w:val="24"/>
          <w:szCs w:val="24"/>
          <w:rFonts w:ascii="宋体" w:eastAsia="宋体" w:hAnsi="宋体" w:hint="default"/>
        </w:rPr>
        <w:t>5.3投标人需要说明的其他文件和说明。</w:t>
      </w: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p>
      <w:pPr>
        <w:numPr>
          <w:ilvl w:val="0"/>
          <w:numId w:val="0"/>
        </w:numPr>
        <w:jc w:val="left"/>
        <w:spacing w:lineRule="auto" w:line="360" w:before="0" w:after="0"/>
        <w:ind w:right="0" w:firstLine="0"/>
        <w:rPr>
          <w:color w:val="auto"/>
          <w:position w:val="0"/>
          <w:sz w:val="24"/>
          <w:szCs w:val="24"/>
          <w:rFonts w:ascii="宋体" w:eastAsia="宋体" w:hAnsi="宋体" w:hint="default"/>
        </w:rPr>
        <w:snapToGrid w:val="off"/>
        <w:autoSpaceDE w:val="1"/>
        <w:autoSpaceDN w:val="1"/>
      </w:pPr>
    </w:p>
    <w:sectPr>
      <w:type w:val="continuous"/>
      <w:footerReference w:type="default" r:id="rId7"/>
      <w:pgSz w:w="11906" w:h="16838"/>
      <w:pgMar w:top="1440" w:left="1800" w:bottom="1440" w:right="1800" w:header="708" w:footer="708" w:gutter="0"/>
      <w:pgNumType w:fmt="decimal"/>
      <w:docGrid w:type="default" w:linePitch="360"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 w:name="Tahoma">
    <w:panose1 w:val="020F0502020204030204"/>
    <w:charset w:val="0"/>
    <w:family w:val="mordern"/>
    <w:pitch w:val="variable"/>
    <w:sig w:usb0="A00002EF" w:usb1="4000207B" w:usb2="00000000" w:usb3="00000000" w:csb0="FFFFFFFF" w:csb1="00000000"/>
  </w:font>
  <w:font w:name="Cambria">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Angsana New">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MingLiU">
    <w:panose1 w:val="020F0502020204030204"/>
    <w:charset w:val="0"/>
    <w:family w:val="mordern"/>
    <w:pitch w:val="variable"/>
    <w:sig w:usb0="A00002EF" w:usb1="4000207B" w:usb2="00000000" w:usb3="00000000" w:csb0="FFFFFFFF" w:csb1="00000000"/>
  </w:font>
  <w:font w:name="华文中宋">
    <w:panose1 w:val="020F0502020204030204"/>
    <w:charset w:val="0"/>
    <w:family w:val="mordern"/>
    <w:pitch w:val="variable"/>
    <w:sig w:usb0="A00002EF" w:usb1="4000207B" w:usb2="00000000" w:usb3="00000000" w:csb0="FFFFFFFF" w:csb1="00000000"/>
  </w:font>
  <w:font w:name="楷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新宋体">
    <w:panose1 w:val="020F0502020204030204"/>
    <w:charset w:val="0"/>
    <w:family w:val="mordern"/>
    <w:pitch w:val="variable"/>
    <w:sig w:usb0="A00002EF" w:usb1="4000207B" w:usb2="00000000" w:usb3="00000000" w:csb0="FFFFFFFF"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left"/>
      <w:spacing w:lineRule="auto" w:line="240" w:before="0" w:after="200"/>
      <w:ind w:right="0" w:firstLine="0"/>
      <w:tabs>
        <w:tab w:val="center" w:pos="4153"/>
        <w:tab w:val="right" w:pos="8306"/>
      </w:tabs>
      <w:rPr>
        <w:color w:val="auto"/>
        <w:position w:val="0"/>
        <w:sz w:val="18"/>
        <w:szCs w:val="18"/>
        <w:rFonts w:ascii="Tahoma" w:eastAsia="Tahoma" w:hAnsi="Tahoma" w:hint="default"/>
      </w:rPr>
      <w:snapToGrid w:val="off"/>
      <w:autoSpaceDE w:val="1"/>
      <w:autoSpaceDN w:val="1"/>
    </w:pPr>
    <w:r>
      <w:rPr>
        <w:sz w:val="20"/>
      </w:rPr>
      <w:pict>
        <v:shapetype id="_x0000_t202" coordsize="21600,21600" o:spt="202" o:preferrelative="t" path="m,l,21600r21600,l21600,xe">
          <v:stroke joinstyle="miter"/>
        </v:shapetype>
        <v:shape id="_x0000_s3" type="#_x0000_t202" style="position:absolute;left:0;margin-left:0pt;mso-position-horizontal:center;mso-position-horizontal-relative:margin;margin-top:0pt;mso-position-vertical:absolute;mso-position-vertical-relative:text;width:144.0pt;height:20.8pt;z-index:251624962" stroked="f" filled="f">
          <v:textbox style="mso-fit-shape-to-text:t;" inset="0pt,0pt,0pt,0pt">
            <w:txbxContent>
              <w:p>
                <w:pPr>
                  <w:numPr>
                    <w:ilvl w:val="0"/>
                    <w:numId w:val="0"/>
                  </w:numPr>
                  <w:jc w:val="left"/>
                  <w:spacing w:lineRule="auto" w:line="240" w:before="0" w:after="200"/>
                  <w:ind w:right="0" w:firstLine="0"/>
                  <w:rPr>
                    <w:color w:val="auto"/>
                    <w:position w:val="0"/>
                    <w:sz w:val="18"/>
                    <w:szCs w:val="18"/>
                    <w:rFonts w:ascii="Tahoma" w:eastAsia="Tahoma" w:hAnsi="Tahoma" w:hint="default"/>
                  </w:rPr>
                  <w:snapToGrid w:val="off"/>
                  <w:autoSpaceDE w:val="1"/>
                  <w:autoSpaceDN w:val="1"/>
                </w:pPr>
                <w:r>
                  <w:rPr>
                    <w:color w:val="auto"/>
                    <w:position w:val="0"/>
                    <w:sz w:val="18"/>
                    <w:szCs w:val="18"/>
                    <w:rFonts w:ascii="Tahoma" w:eastAsia="Tahoma" w:hAnsi="Tahoma" w:hint="default"/>
                  </w:rPr>
                  <w:fldChar w:fldCharType="begin"/>
                </w:r>
                <w:r>
                  <w:instrText>PAGE  \* MERGEFORMAT</w:instrText>
                </w:r>
                <w:r>
                  <w:fldChar w:fldCharType="separate"/>
                </w:r>
                <w:r>
                  <w:rPr>
                    <w:color w:val="auto"/>
                    <w:position w:val="0"/>
                    <w:sz w:val="18"/>
                    <w:szCs w:val="18"/>
                    <w:rFonts w:ascii="Tahoma" w:eastAsia="Tahoma" w:hAnsi="Tahoma" w:hint="default"/>
                  </w:rPr>
                  <w:t>27</w:t>
                </w:r>
                <w:r>
                  <w:rPr>
                    <w:color w:val="auto"/>
                    <w:position w:val="0"/>
                    <w:sz w:val="18"/>
                    <w:szCs w:val="18"/>
                    <w:rFonts w:ascii="Tahoma" w:eastAsia="Tahoma" w:hAnsi="Tahoma" w:hint="default"/>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left"/>
      <w:spacing w:lineRule="auto" w:line="240" w:before="0" w:after="200"/>
      <w:ind w:right="0" w:firstLine="0"/>
      <w:tabs>
        <w:tab w:val="center" w:pos="4153"/>
        <w:tab w:val="right" w:pos="8306"/>
      </w:tabs>
      <w:rPr>
        <w:color w:val="auto"/>
        <w:position w:val="0"/>
        <w:sz w:val="18"/>
        <w:szCs w:val="18"/>
        <w:rFonts w:ascii="Tahoma" w:eastAsia="Tahoma" w:hAnsi="Tahoma" w:hint="default"/>
      </w:rPr>
      <w:snapToGrid w:val="off"/>
      <w:autoSpaceDE w:val="1"/>
      <w:autoSpaceDN w:val="1"/>
    </w:pPr>
    <w:r>
      <w:rPr>
        <w:sz w:val="20"/>
      </w:rPr>
      <w:pict>
        <v:shapetype id="_x0000_t202" coordsize="21600,21600" o:spt="202" o:preferrelative="t" path="m,l,21600r21600,l21600,xe">
          <v:stroke joinstyle="miter"/>
        </v:shapetype>
        <v:shape id="_x0000_s5" type="#_x0000_t202" style="position:absolute;left:0;margin-left:0pt;mso-position-horizontal:center;mso-position-horizontal-relative:margin;margin-top:0pt;mso-position-vertical:absolute;mso-position-vertical-relative:text;width:10.5pt;height:22.6pt;z-index:251624961" stroked="f" filled="f">
          <v:textbox style="mso-fit-shape-to-text:t;" inset="0pt,0pt,0pt,0pt">
            <w:txbxContent>
              <w:p>
                <w:pPr>
                  <w:numPr>
                    <w:ilvl w:val="0"/>
                    <w:numId w:val="0"/>
                  </w:numPr>
                  <w:jc w:val="left"/>
                  <w:spacing w:lineRule="auto" w:line="240" w:before="0" w:after="200"/>
                  <w:ind w:right="0" w:firstLine="0"/>
                  <w:rPr>
                    <w:color w:val="auto"/>
                    <w:position w:val="0"/>
                    <w:sz w:val="18"/>
                    <w:szCs w:val="18"/>
                    <w:rFonts w:ascii="Tahoma" w:eastAsia="Tahoma" w:hAnsi="Tahoma" w:hint="default"/>
                  </w:rPr>
                  <w:snapToGrid w:val="off"/>
                  <w:autoSpaceDE w:val="1"/>
                  <w:autoSpaceDN w:val="1"/>
                </w:pPr>
                <w:r>
                  <w:rPr>
                    <w:color w:val="auto"/>
                    <w:position w:val="0"/>
                    <w:sz w:val="18"/>
                    <w:szCs w:val="18"/>
                    <w:rFonts w:ascii="Tahoma" w:eastAsia="Tahoma" w:hAnsi="Tahoma" w:hint="default"/>
                  </w:rPr>
                  <w:fldChar w:fldCharType="begin"/>
                </w:r>
                <w:r>
                  <w:instrText>PAGE  \* MERGEFORMAT</w:instrText>
                </w:r>
                <w:r>
                  <w:fldChar w:fldCharType="separate"/>
                </w:r>
                <w:r>
                  <w:rPr>
                    <w:color w:val="auto"/>
                    <w:position w:val="0"/>
                    <w:sz w:val="21"/>
                    <w:szCs w:val="21"/>
                    <w:rFonts w:ascii="Tahoma" w:eastAsia="Tahoma" w:hAnsi="Tahoma" w:hint="default"/>
                  </w:rPr>
                  <w:t>22</w:t>
                </w:r>
                <w:r>
                  <w:rPr>
                    <w:color w:val="auto"/>
                    <w:position w:val="0"/>
                    <w:sz w:val="18"/>
                    <w:szCs w:val="18"/>
                    <w:rFonts w:ascii="Tahoma" w:eastAsia="Tahoma" w:hAnsi="Tahoma" w:hint="default"/>
                  </w:rPr>
                  <w:fldChar w:fldCharType="end"/>
                </w:r>
              </w:p>
            </w:txbxContent>
          </v:textbox>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200"/>
      <w:ind w:right="0" w:firstLine="0"/>
      <w:tabs>
        <w:tab w:val="center" w:pos="4153"/>
        <w:tab w:val="right" w:pos="8306"/>
      </w:tabs>
      <w:rPr>
        <w:color w:val="auto"/>
        <w:position w:val="0"/>
        <w:sz w:val="18"/>
        <w:szCs w:val="18"/>
        <w:rFonts w:ascii="Tahoma" w:eastAsia="Tahoma" w:hAnsi="Tahoma" w:hint="default"/>
      </w:rPr>
      <w:snapToGrid w:val="off"/>
      <w:autoSpaceDE w:val="1"/>
      <w:autoSpaceDN w:val="1"/>
    </w:pPr>
    <w:r>
      <w:rPr>
        <w:sz w:val="20"/>
      </w:rPr>
      <w:pict>
        <v:shapetype id="_x0000_t202" coordsize="21600,21600" o:spt="202" o:preferrelative="t" path="m,l,21600r21600,l21600,xe">
          <v:stroke joinstyle="miter"/>
        </v:shapetype>
        <v:shape id="_x0000_s43" type="#_x0000_t202" style="position:absolute;left:0;margin-left:0pt;mso-position-horizontal:center;mso-position-horizontal-relative:margin;margin-top:0pt;mso-position-vertical:absolute;mso-position-vertical-relative:text;width:144.0pt;height:45.3pt;z-index:251624960" stroked="f" filled="f">
          <v:textbox style="mso-fit-shape-to-text:t;" inset="0pt,0pt,0pt,0pt">
            <w:txbxContent>
              <w:p>
                <w:pPr>
                  <w:pStyle w:val="PO152"/>
                  <w:numPr>
                    <w:ilvl w:val="0"/>
                    <w:numId w:val="0"/>
                  </w:numPr>
                  <w:jc w:val="center"/>
                  <w:spacing w:lineRule="auto" w:line="240" w:before="0" w:after="200"/>
                  <w:ind w:right="0" w:firstLine="0"/>
                  <w:tabs>
                    <w:tab w:val="center" w:pos="4153"/>
                    <w:tab w:val="right" w:pos="8306"/>
                  </w:tabs>
                  <w:rPr>
                    <w:color w:val="auto"/>
                    <w:position w:val="0"/>
                    <w:sz w:val="18"/>
                    <w:szCs w:val="18"/>
                    <w:rFonts w:ascii="Tahoma" w:eastAsia="Tahoma" w:hAnsi="Tahoma" w:hint="default"/>
                  </w:rPr>
                  <w:snapToGrid w:val="off"/>
                  <w:autoSpaceDE w:val="1"/>
                  <w:autoSpaceDN w:val="1"/>
                </w:pPr>
                <w:r>
                  <w:rPr>
                    <w:color w:val="auto"/>
                    <w:position w:val="0"/>
                    <w:sz w:val="21"/>
                    <w:szCs w:val="21"/>
                    <w:rFonts w:ascii="楷体" w:eastAsia="楷体" w:hAnsi="楷体" w:hint="default"/>
                  </w:rPr>
                  <w:fldChar w:fldCharType="begin"/>
                </w:r>
                <w:r>
                  <w:instrText>PAGE  \* MERGEFORMAT</w:instrText>
                </w:r>
                <w:r>
                  <w:fldChar w:fldCharType="separate"/>
                </w:r>
                <w:r>
                  <w:rPr>
                    <w:color w:val="auto"/>
                    <w:position w:val="0"/>
                    <w:sz w:val="21"/>
                    <w:szCs w:val="21"/>
                    <w:rFonts w:ascii="楷体" w:eastAsia="楷体" w:hAnsi="楷体" w:hint="default"/>
                  </w:rPr>
                  <w:t>54</w:t>
                </w:r>
                <w:r>
                  <w:rPr>
                    <w:color w:val="auto"/>
                    <w:position w:val="0"/>
                    <w:sz w:val="21"/>
                    <w:szCs w:val="21"/>
                    <w:rFonts w:ascii="楷体" w:eastAsia="楷体" w:hAnsi="楷体" w:hint="default"/>
                  </w:rPr>
                  <w:fldChar w:fldCharType="end"/>
                </w:r>
                <w:r>
                  <w:rPr>
                    <w:color w:val="auto"/>
                    <w:position w:val="0"/>
                    <w:sz w:val="21"/>
                    <w:szCs w:val="21"/>
                    <w:rFonts w:ascii="楷体" w:eastAsia="楷体" w:hAnsi="楷体" w:hint="default"/>
                  </w:rPr>
                  <w:t xml:space="preserve">  </w:t>
                </w:r>
              </w:p>
              <w:p>
                <w:pPr>
                  <w:numPr>
                    <w:ilvl w:val="0"/>
                    <w:numId w:val="0"/>
                  </w:numPr>
                  <w:jc w:val="left"/>
                  <w:spacing w:lineRule="auto" w:line="240" w:before="0" w:after="200"/>
                  <w:ind w:left="0" w:hanging="0"/>
                  <w:rPr>
                    <w:color w:val="auto"/>
                    <w:position w:val="0"/>
                    <w:sz w:val="22"/>
                    <w:szCs w:val="22"/>
                    <w:rFonts w:ascii="Tahoma" w:eastAsia="Tahoma" w:hAnsi="Tahoma" w:hint="default"/>
                  </w:rPr>
                  <w:snapToGrid w:val="off"/>
                  <w:autoSpaceDE w:val="1"/>
                  <w:autoSpaceDN w:val="1"/>
                </w:pPr>
              </w:p>
            </w:txbxContent>
          </v:textbox>
        </v:shape>
      </w:pict>
    </w:r>
  </w:p>
  <w:p>
    <w:pPr>
      <w:pStyle w:val="PO152"/>
      <w:numPr>
        <w:ilvl w:val="0"/>
        <w:numId w:val="0"/>
      </w:numPr>
      <w:jc w:val="left"/>
      <w:spacing w:lineRule="auto" w:line="240" w:before="0" w:after="200"/>
      <w:ind w:right="0" w:firstLine="0"/>
      <w:tabs>
        <w:tab w:val="center" w:pos="4153"/>
        <w:tab w:val="right" w:pos="8306"/>
      </w:tabs>
      <w:rPr>
        <w:color w:val="auto"/>
        <w:position w:val="0"/>
        <w:sz w:val="18"/>
        <w:szCs w:val="18"/>
        <w:rFonts w:ascii="Tahoma" w:eastAsia="Tahoma" w:hAnsi="Tahoma" w:hint="default"/>
      </w:rPr>
      <w:snapToGrid w:val="off"/>
      <w:autoSpaceDE w:val="1"/>
      <w:autoSpaceDN w:val="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000000"/>
    <w:tmpl w:val="000029"/>
    <w:lvl w:ilvl="0">
      <w:lvlJc w:val="left"/>
      <w:numFmt w:val="decimal"/>
      <w:start w:val="1"/>
      <w:suff w:val="tab"/>
      <w:pPr>
        <w:ind w:left="930" w:hanging="720"/>
        <w:jc w:val="both"/>
      </w:pPr>
      <w:rPr>
        <w:shd w:val="clear"/>
        <w:sz w:val="20"/>
        <w:szCs w:val="20"/>
        <w:w w:val="100"/>
      </w:rPr>
      <w:lvlText w:val="（%1）"/>
    </w:lvl>
    <w:lvl w:ilvl="1">
      <w:lvlJc w:val="left"/>
      <w:numFmt w:val="lowerLetter"/>
      <w:start w:val="1"/>
      <w:suff w:val="tab"/>
      <w:pPr>
        <w:ind w:left="1050" w:hanging="420"/>
        <w:jc w:val="both"/>
      </w:pPr>
      <w:lvlText w:val="%2)"/>
    </w:lvl>
    <w:lvl w:ilvl="2">
      <w:lvlJc w:val="right"/>
      <w:numFmt w:val="lowerRoman"/>
      <w:start w:val="1"/>
      <w:suff w:val="tab"/>
      <w:pPr>
        <w:ind w:left="1470" w:hanging="420"/>
        <w:jc w:val="both"/>
      </w:pPr>
      <w:lvlText w:val="%3."/>
    </w:lvl>
    <w:lvl w:ilvl="3">
      <w:lvlJc w:val="left"/>
      <w:numFmt w:val="decimal"/>
      <w:start w:val="1"/>
      <w:suff w:val="tab"/>
      <w:pPr>
        <w:ind w:left="1890" w:hanging="420"/>
        <w:jc w:val="both"/>
      </w:pPr>
      <w:lvlText w:val="%4."/>
    </w:lvl>
    <w:lvl w:ilvl="4">
      <w:lvlJc w:val="left"/>
      <w:numFmt w:val="lowerLetter"/>
      <w:start w:val="1"/>
      <w:suff w:val="tab"/>
      <w:pPr>
        <w:ind w:left="2310" w:hanging="420"/>
        <w:jc w:val="both"/>
      </w:pPr>
      <w:lvlText w:val="%5)"/>
    </w:lvl>
    <w:lvl w:ilvl="5">
      <w:lvlJc w:val="right"/>
      <w:numFmt w:val="lowerRoman"/>
      <w:start w:val="1"/>
      <w:suff w:val="tab"/>
      <w:pPr>
        <w:ind w:left="2730" w:hanging="420"/>
        <w:jc w:val="both"/>
      </w:pPr>
      <w:lvlText w:val="%6."/>
    </w:lvl>
    <w:lvl w:ilvl="6">
      <w:lvlJc w:val="left"/>
      <w:numFmt w:val="decimal"/>
      <w:start w:val="1"/>
      <w:suff w:val="tab"/>
      <w:pPr>
        <w:ind w:left="3150" w:hanging="420"/>
        <w:jc w:val="both"/>
      </w:pPr>
      <w:lvlText w:val="%7."/>
    </w:lvl>
    <w:lvl w:ilvl="7">
      <w:lvlJc w:val="left"/>
      <w:numFmt w:val="lowerLetter"/>
      <w:start w:val="1"/>
      <w:suff w:val="tab"/>
      <w:pPr>
        <w:ind w:left="3570" w:hanging="420"/>
        <w:jc w:val="both"/>
      </w:pPr>
      <w:lvlText w:val="%8)"/>
    </w:lvl>
    <w:lvl w:ilvl="8">
      <w:lvlJc w:val="right"/>
      <w:numFmt w:val="lowerRoman"/>
      <w:start w:val="1"/>
      <w:suff w:val="tab"/>
      <w:pPr>
        <w:ind w:left="3990" w:hanging="420"/>
        <w:jc w:val="both"/>
      </w:pPr>
      <w:lvlText w:val="%9."/>
    </w:lvl>
  </w:abstractNum>
  <w:abstractNum w:abstractNumId="1">
    <w:multiLevelType w:val="hybridMultilevel"/>
    <w:nsid w:val="000001"/>
    <w:tmpl w:val="004823"/>
    <w:lvl w:ilvl="0">
      <w:lvlJc w:val="left"/>
      <w:numFmt w:val="decimal"/>
      <w:start w:val="1"/>
      <w:suff w:val="tab"/>
      <w:pPr>
        <w:ind w:left="360" w:hanging="360"/>
        <w:jc w:val="both"/>
      </w:pPr>
      <w:rPr>
        <w:shd w:val="clear"/>
        <w:sz w:val="20"/>
        <w:szCs w:val="20"/>
        <w:w w:val="100"/>
      </w:rPr>
      <w:lvlText w:val="%1."/>
    </w:lvl>
    <w:lvl w:ilvl="1">
      <w:lvlJc w:val="left"/>
      <w:numFmt w:val="lowerLetter"/>
      <w:start w:val="1"/>
      <w:suff w:val="tab"/>
      <w:pPr>
        <w:ind w:left="840" w:hanging="420"/>
        <w:jc w:val="both"/>
      </w:pPr>
      <w:lvlText w:val="%2)"/>
    </w:lvl>
    <w:lvl w:ilvl="2">
      <w:lvlJc w:val="right"/>
      <w:numFmt w:val="lowerRoman"/>
      <w:start w:val="1"/>
      <w:suff w:val="tab"/>
      <w:pPr>
        <w:ind w:left="1260" w:hanging="420"/>
        <w:jc w:val="both"/>
      </w:pPr>
      <w:lvlText w:val="%3."/>
    </w:lvl>
    <w:lvl w:ilvl="3">
      <w:lvlJc w:val="left"/>
      <w:numFmt w:val="decimal"/>
      <w:start w:val="1"/>
      <w:suff w:val="tab"/>
      <w:pPr>
        <w:ind w:left="1680" w:hanging="420"/>
        <w:jc w:val="both"/>
      </w:pPr>
      <w:lvlText w:val="%4."/>
    </w:lvl>
    <w:lvl w:ilvl="4">
      <w:lvlJc w:val="left"/>
      <w:numFmt w:val="lowerLetter"/>
      <w:start w:val="1"/>
      <w:suff w:val="tab"/>
      <w:pPr>
        <w:ind w:left="2100" w:hanging="420"/>
        <w:jc w:val="both"/>
      </w:pPr>
      <w:lvlText w:val="%5)"/>
    </w:lvl>
    <w:lvl w:ilvl="5">
      <w:lvlJc w:val="right"/>
      <w:numFmt w:val="lowerRoman"/>
      <w:start w:val="1"/>
      <w:suff w:val="tab"/>
      <w:pPr>
        <w:ind w:left="2520" w:hanging="420"/>
        <w:jc w:val="both"/>
      </w:pPr>
      <w:lvlText w:val="%6."/>
    </w:lvl>
    <w:lvl w:ilvl="6">
      <w:lvlJc w:val="left"/>
      <w:numFmt w:val="decimal"/>
      <w:start w:val="1"/>
      <w:suff w:val="tab"/>
      <w:pPr>
        <w:ind w:left="2940" w:hanging="420"/>
        <w:jc w:val="both"/>
      </w:pPr>
      <w:lvlText w:val="%7."/>
    </w:lvl>
    <w:lvl w:ilvl="7">
      <w:lvlJc w:val="left"/>
      <w:numFmt w:val="lowerLetter"/>
      <w:start w:val="1"/>
      <w:suff w:val="tab"/>
      <w:pPr>
        <w:ind w:left="3360" w:hanging="420"/>
        <w:jc w:val="both"/>
      </w:pPr>
      <w:lvlText w:val="%8)"/>
    </w:lvl>
    <w:lvl w:ilvl="8">
      <w:lvlJc w:val="right"/>
      <w:numFmt w:val="lowerRoman"/>
      <w:start w:val="1"/>
      <w:suff w:val="tab"/>
      <w:pPr>
        <w:ind w:left="3780" w:hanging="420"/>
        <w:jc w:val="both"/>
      </w:pPr>
      <w:lvlText w:val="%9."/>
    </w:lvl>
  </w:abstractNum>
  <w:abstractNum w:abstractNumId="2">
    <w:multiLevelType w:val="hybridMultilevel"/>
    <w:nsid w:val="000002"/>
    <w:tmpl w:val="0018BE"/>
    <w:lvl w:ilvl="0">
      <w:lvlJc w:val="left"/>
      <w:numFmt w:val="decimal"/>
      <w:start w:val="1"/>
      <w:suff w:val="tab"/>
      <w:pPr>
        <w:ind w:left="1050" w:hanging="720"/>
        <w:jc w:val="both"/>
      </w:pPr>
      <w:rPr>
        <w:shd w:val="clear"/>
        <w:sz w:val="20"/>
        <w:szCs w:val="20"/>
        <w:w w:val="100"/>
      </w:rPr>
      <w:lvlText w:val="（%1）"/>
    </w:lvl>
    <w:lvl w:ilvl="1">
      <w:lvlJc w:val="left"/>
      <w:numFmt w:val="lowerLetter"/>
      <w:start w:val="1"/>
      <w:suff w:val="tab"/>
      <w:pPr>
        <w:ind w:left="1170" w:hanging="420"/>
        <w:jc w:val="both"/>
      </w:pPr>
      <w:lvlText w:val="%2)"/>
    </w:lvl>
    <w:lvl w:ilvl="2">
      <w:lvlJc w:val="right"/>
      <w:numFmt w:val="lowerRoman"/>
      <w:start w:val="1"/>
      <w:suff w:val="tab"/>
      <w:pPr>
        <w:ind w:left="1590" w:hanging="420"/>
        <w:jc w:val="both"/>
      </w:pPr>
      <w:lvlText w:val="%3."/>
    </w:lvl>
    <w:lvl w:ilvl="3">
      <w:lvlJc w:val="left"/>
      <w:numFmt w:val="decimal"/>
      <w:start w:val="1"/>
      <w:suff w:val="tab"/>
      <w:pPr>
        <w:ind w:left="2010" w:hanging="420"/>
        <w:jc w:val="both"/>
      </w:pPr>
      <w:lvlText w:val="%4."/>
    </w:lvl>
    <w:lvl w:ilvl="4">
      <w:lvlJc w:val="left"/>
      <w:numFmt w:val="lowerLetter"/>
      <w:start w:val="1"/>
      <w:suff w:val="tab"/>
      <w:pPr>
        <w:ind w:left="2430" w:hanging="420"/>
        <w:jc w:val="both"/>
      </w:pPr>
      <w:lvlText w:val="%5)"/>
    </w:lvl>
    <w:lvl w:ilvl="5">
      <w:lvlJc w:val="right"/>
      <w:numFmt w:val="lowerRoman"/>
      <w:start w:val="1"/>
      <w:suff w:val="tab"/>
      <w:pPr>
        <w:ind w:left="2850" w:hanging="420"/>
        <w:jc w:val="both"/>
      </w:pPr>
      <w:lvlText w:val="%6."/>
    </w:lvl>
    <w:lvl w:ilvl="6">
      <w:lvlJc w:val="left"/>
      <w:numFmt w:val="decimal"/>
      <w:start w:val="1"/>
      <w:suff w:val="tab"/>
      <w:pPr>
        <w:ind w:left="3270" w:hanging="420"/>
        <w:jc w:val="both"/>
      </w:pPr>
      <w:lvlText w:val="%7."/>
    </w:lvl>
    <w:lvl w:ilvl="7">
      <w:lvlJc w:val="left"/>
      <w:numFmt w:val="lowerLetter"/>
      <w:start w:val="1"/>
      <w:suff w:val="tab"/>
      <w:pPr>
        <w:ind w:left="3690" w:hanging="420"/>
        <w:jc w:val="both"/>
      </w:pPr>
      <w:lvlText w:val="%8)"/>
    </w:lvl>
    <w:lvl w:ilvl="8">
      <w:lvlJc w:val="right"/>
      <w:numFmt w:val="lowerRoman"/>
      <w:start w:val="1"/>
      <w:suff w:val="tab"/>
      <w:pPr>
        <w:ind w:left="4110" w:hanging="420"/>
        <w:jc w:val="both"/>
      </w:pPr>
      <w:lvlText w:val="%9."/>
    </w:lvl>
  </w:abstractNum>
  <w:abstractNum w:abstractNumId="3">
    <w:multiLevelType w:val="hybridMultilevel"/>
    <w:nsid w:val="000003"/>
    <w:tmpl w:val="006784"/>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720"/>
  <w:displayHorizontalDrawingGridEvery w:val="0"/>
  <w:displayVerticalDrawingGridEvery w:val="2"/>
  <w:noPunctuationKerning/>
  <w:characterSpacingControl w:val="doNotCompress"/>
  <w:bordersDoNotSurroundHeader/>
  <w:compat w:val="0">
    <w:doNotExpandShiftReturn/>
    <w:useFELayout/>
    <w:compatSetting w:name="compatibilityMode" w:uri="http://schemas.microsoft.com/office/word" w:val="12"/>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微软雅黑" w:hAnsi="Calibri"/>
        <w:shd w:val="clear"/>
        <w:sz w:val="20"/>
        <w:szCs w:val="20"/>
        <w:w w:val="100"/>
      </w:rPr>
    </w:rPrDefault>
  </w:docDefaults>
  <w:style w:default="1" w:styleId="PO1" w:type="paragraph">
    <w:name w:val="Normal"/>
    <w:qFormat/>
    <w:uiPriority w:val="1"/>
    <w:pPr>
      <w:autoSpaceDE w:val="1"/>
      <w:autoSpaceDN w:val="1"/>
      <w:widowControl/>
      <w:wordWrap/>
    </w:pPr>
    <w:rPr>
      <w:rFonts w:ascii="Tahoma" w:eastAsia="Tahoma" w:hAnsi="Tahoma"/>
      <w:shd w:val="clear"/>
      <w:sz w:val="22"/>
      <w:szCs w:val="22"/>
      <w:w w:val="100"/>
    </w:r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basedOn w:val="PO1"/>
    <w:next w:val="PO1"/>
    <w:link w:val="PO159"/>
    <w:qFormat/>
    <w:uiPriority w:val="7"/>
    <w:pPr>
      <w:autoSpaceDE w:val="1"/>
      <w:autoSpaceDN w:val="1"/>
      <w:jc w:val="both"/>
      <w:keepLines/>
      <w:keepNext/>
      <w:wordWrap/>
    </w:pPr>
    <w:rPr>
      <w:rFonts w:ascii="Times New Roman" w:eastAsia="Times New Roman" w:hAnsi="Times New Roman"/>
      <w:b/>
      <w:shd w:val="clear"/>
      <w:sz w:val="44"/>
      <w:szCs w:val="44"/>
      <w:w w:val="100"/>
    </w:rPr>
  </w:style>
  <w:style w:styleId="PO8" w:type="paragraph">
    <w:name w:val="heading 2"/>
    <w:basedOn w:val="PO1"/>
    <w:next w:val="PO1"/>
    <w:link w:val="PO163"/>
    <w:qFormat/>
    <w:uiPriority w:val="8"/>
    <w:semiHidden/>
    <w:unhideWhenUsed/>
    <w:pPr>
      <w:autoSpaceDE w:val="1"/>
      <w:autoSpaceDN w:val="1"/>
      <w:keepLines/>
      <w:keepNext/>
      <w:widowControl/>
      <w:wordWrap/>
    </w:pPr>
    <w:rPr>
      <w:rFonts w:ascii="Cambria" w:eastAsia="宋体" w:hAnsi="Cambria"/>
      <w:b/>
      <w:shd w:val="clear"/>
      <w:sz w:val="32"/>
      <w:szCs w:val="32"/>
      <w:w w:val="100"/>
    </w:rPr>
  </w:style>
  <w:style w:styleId="PO9" w:type="paragraph">
    <w:name w:val="heading 3"/>
    <w:basedOn w:val="PO1"/>
    <w:next w:val="PO1"/>
    <w:link w:val="PO160"/>
    <w:qFormat/>
    <w:uiPriority w:val="9"/>
    <w:pPr>
      <w:autoSpaceDE w:val="1"/>
      <w:autoSpaceDN w:val="1"/>
      <w:jc w:val="both"/>
      <w:keepLines/>
      <w:keepNext/>
      <w:wordWrap/>
    </w:pPr>
    <w:rPr>
      <w:rFonts w:ascii="Times New Roman" w:eastAsia="Times New Roman" w:hAnsi="Times New Roman"/>
      <w:b/>
      <w:shd w:val="clear"/>
      <w:sz w:val="32"/>
      <w:szCs w:val="32"/>
      <w:w w:val="100"/>
    </w:rPr>
  </w:style>
  <w:style w:styleId="PO10" w:type="paragraph">
    <w:name w:val="heading 4"/>
    <w:basedOn w:val="PO1"/>
    <w:next w:val="PO1"/>
    <w:link w:val="PO161"/>
    <w:qFormat/>
    <w:uiPriority w:val="10"/>
    <w:pPr>
      <w:autoSpaceDE w:val="1"/>
      <w:autoSpaceDN w:val="1"/>
      <w:jc w:val="both"/>
      <w:keepLines/>
      <w:keepNext/>
      <w:wordWrap/>
    </w:pPr>
    <w:rPr>
      <w:rFonts w:ascii="Arial" w:eastAsia="Times New Roman" w:hAnsi="Arial"/>
      <w:b/>
      <w:shd w:val="clear"/>
      <w:sz w:val="28"/>
      <w:szCs w:val="28"/>
      <w:w w:val="100"/>
    </w:rPr>
  </w:style>
  <w:style w:styleId="PO11" w:type="paragraph">
    <w:name w:val="heading 5"/>
    <w:basedOn w:val="PO1"/>
    <w:next w:val="PO1"/>
    <w:link w:val="PO162"/>
    <w:qFormat/>
    <w:uiPriority w:val="11"/>
    <w:semiHidden/>
    <w:unhideWhenUsed/>
    <w:pPr>
      <w:autoSpaceDE w:val="1"/>
      <w:autoSpaceDN w:val="1"/>
      <w:keepLines/>
      <w:keepNext/>
      <w:widowControl/>
      <w:wordWrap/>
    </w:pPr>
    <w:rPr>
      <w:b/>
      <w:shd w:val="clear"/>
      <w:sz w:val="28"/>
      <w:szCs w:val="28"/>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basedOn w:val="PO1"/>
    <w:uiPriority w:val="26"/>
    <w:unhideWhenUsed/>
    <w:pPr>
      <w:autoSpaceDE w:val="1"/>
      <w:autoSpaceDN w:val="1"/>
      <w:ind w:firstLine="420"/>
      <w:widowControl/>
      <w:wordWrap/>
    </w:pPr>
  </w:style>
  <w:style w:styleId="PO27" w:type="paragraph">
    <w:name w:val="TOC Heading"/>
    <w:basedOn w:val="PO7"/>
    <w:next w:val="PO1"/>
    <w:qFormat/>
    <w:uiPriority w:val="27"/>
    <w:semiHidden/>
    <w:unhideWhenUsed/>
    <w:pPr>
      <w:autoSpaceDE w:val="1"/>
      <w:autoSpaceDN w:val="1"/>
      <w:widowControl/>
      <w:wordWrap/>
    </w:pPr>
    <w:rPr>
      <w:color w:val="366091" w:themeColor="accent1" w:themeShade="BF"/>
      <w:rFonts w:ascii="Cambria" w:eastAsia="宋体" w:hAnsi="Cambria"/>
      <w:shd w:val="clear"/>
      <w:sz w:val="28"/>
      <w:szCs w:val="28"/>
      <w:w w:val="100"/>
    </w:rPr>
  </w:style>
  <w:style w:styleId="PO28" w:type="paragraph">
    <w:name w:val="toc 1"/>
    <w:basedOn w:val="PO1"/>
    <w:next w:val="PO1"/>
    <w:uiPriority w:val="28"/>
    <w:unhideWhenUsed/>
  </w:style>
  <w:style w:styleId="PO29" w:type="paragraph">
    <w:name w:val="toc 2"/>
    <w:basedOn w:val="PO1"/>
    <w:next w:val="PO1"/>
    <w:uiPriority w:val="29"/>
    <w:unhideWhenUsed/>
    <w:pPr>
      <w:autoSpaceDE w:val="1"/>
      <w:autoSpaceDN w:val="1"/>
      <w:ind w:left="420" w:firstLine="0"/>
      <w:widowControl/>
      <w:wordWrap/>
    </w:pPr>
  </w:style>
  <w:style w:styleId="PO30" w:type="paragraph">
    <w:name w:val="toc 3"/>
    <w:basedOn w:val="PO1"/>
    <w:next w:val="PO1"/>
    <w:uiPriority w:val="30"/>
    <w:unhideWhenUsed/>
    <w:pPr>
      <w:autoSpaceDE w:val="1"/>
      <w:autoSpaceDN w:val="1"/>
      <w:ind w:left="840" w:firstLine="0"/>
      <w:widowControl/>
      <w:wordWrap/>
    </w:p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styleId="PO37" w:type="table">
    <w:name w:val="Table Grid"/>
    <w:basedOn w:val="PO3"/>
    <w:qFormat/>
    <w:uiPriority w:val="37"/>
    <w:tblPr>
      <w:tblBorders>
        <w:bottom w:val="single" w:color="000000" w:themeColor="text1" w:sz="4"/>
        <w:insideH w:val="single" w:color="000000" w:themeColor="text1" w:sz="4"/>
        <w:insideV w:val="single" w:color="000000" w:themeColor="text1" w:sz="4"/>
        <w:left w:val="single" w:color="000000" w:themeColor="text1" w:sz="4"/>
        <w:right w:val="single" w:color="000000" w:themeColor="text1" w:sz="4"/>
        <w:top w:val="single" w:color="000000" w:themeColor="text1" w:sz="4"/>
      </w:tblBorders>
      <w:tblCellMar>
        <w:bottom w:type="dxa" w:w="0"/>
        <w:left w:type="dxa" w:w="108"/>
        <w:right w:type="dxa" w:w="108"/>
        <w:top w:type="dxa" w:w="0"/>
      </w:tblCellMar>
      <w:tblInd w:type="dxa" w:w="0"/>
    </w:tblPr>
  </w:style>
  <w:style w:styleId="PO151" w:type="paragraph">
    <w:name w:val="Balloon Text"/>
    <w:basedOn w:val="PO1"/>
    <w:link w:val="PO158"/>
    <w:uiPriority w:val="151"/>
    <w:unhideWhenUsed/>
    <w:pPr>
      <w:autoSpaceDE w:val="1"/>
      <w:autoSpaceDN w:val="1"/>
      <w:widowControl/>
      <w:wordWrap/>
    </w:pPr>
    <w:rPr>
      <w:shd w:val="clear"/>
      <w:sz w:val="18"/>
      <w:szCs w:val="18"/>
      <w:w w:val="100"/>
    </w:rPr>
  </w:style>
  <w:style w:styleId="PO152" w:type="paragraph">
    <w:name w:val="footer"/>
    <w:basedOn w:val="PO1"/>
    <w:link w:val="PO157"/>
    <w:qFormat/>
    <w:uiPriority w:val="152"/>
    <w:unhideWhenUsed/>
    <w:pPr>
      <w:autoSpaceDE w:val="1"/>
      <w:autoSpaceDN w:val="1"/>
      <w:tabs>
        <w:tab w:val="center" w:pos="4153"/>
        <w:tab w:val="right" w:pos="8306"/>
      </w:tabs>
      <w:widowControl/>
      <w:wordWrap/>
    </w:pPr>
    <w:rPr>
      <w:shd w:val="clear"/>
      <w:sz w:val="18"/>
      <w:szCs w:val="18"/>
      <w:w w:val="100"/>
    </w:rPr>
  </w:style>
  <w:style w:styleId="PO153" w:type="paragraph">
    <w:name w:val="header"/>
    <w:basedOn w:val="PO1"/>
    <w:link w:val="PO156"/>
    <w:qFormat/>
    <w:uiPriority w:val="153"/>
    <w:unhideWhenUsed/>
    <w:pPr>
      <w:autoSpaceDE w:val="1"/>
      <w:autoSpaceDN w:val="1"/>
      <w:jc w:val="center"/>
      <w:tabs>
        <w:tab w:val="center" w:pos="4153"/>
        <w:tab w:val="right" w:pos="8306"/>
      </w:tabs>
      <w:widowControl/>
      <w:wordWrap/>
    </w:pPr>
    <w:rPr>
      <w:shd w:val="clear"/>
      <w:sz w:val="18"/>
      <w:szCs w:val="18"/>
      <w:w w:val="100"/>
    </w:rPr>
  </w:style>
  <w:style w:styleId="PO154" w:type="character">
    <w:name w:val="Hyperlink"/>
    <w:basedOn w:val="PO2"/>
    <w:qFormat/>
    <w:uiPriority w:val="154"/>
    <w:unhideWhenUsed/>
    <w:rPr>
      <w:color w:val="0000FF" w:themeColor="hyperlink"/>
      <w:shd w:val="clear"/>
      <w:sz w:val="20"/>
      <w:szCs w:val="20"/>
      <w:u w:val="single"/>
      <w:w w:val="100"/>
    </w:rPr>
  </w:style>
  <w:style w:customStyle="1" w:styleId="PO155" w:type="paragraph">
    <w:name w:val="列出段落1"/>
    <w:basedOn w:val="PO1"/>
    <w:qFormat/>
    <w:uiPriority w:val="155"/>
    <w:pPr>
      <w:autoSpaceDE w:val="1"/>
      <w:autoSpaceDN w:val="1"/>
      <w:ind w:firstLine="420"/>
      <w:widowControl/>
      <w:wordWrap/>
    </w:pPr>
  </w:style>
  <w:style w:customStyle="1" w:styleId="PO156" w:type="character">
    <w:name w:val="页眉 Char"/>
    <w:basedOn w:val="PO2"/>
    <w:link w:val="PO153"/>
    <w:uiPriority w:val="156"/>
    <w:semiHidden/>
    <w:rPr>
      <w:rFonts w:ascii="Tahoma" w:eastAsia="Tahoma" w:hAnsi="Tahoma"/>
      <w:shd w:val="clear"/>
      <w:sz w:val="18"/>
      <w:szCs w:val="18"/>
      <w:w w:val="100"/>
    </w:rPr>
  </w:style>
  <w:style w:customStyle="1" w:styleId="PO157" w:type="character">
    <w:name w:val="页脚 Char"/>
    <w:basedOn w:val="PO2"/>
    <w:link w:val="PO152"/>
    <w:qFormat/>
    <w:uiPriority w:val="157"/>
    <w:rPr>
      <w:rFonts w:ascii="Tahoma" w:eastAsia="Tahoma" w:hAnsi="Tahoma"/>
      <w:shd w:val="clear"/>
      <w:sz w:val="18"/>
      <w:szCs w:val="18"/>
      <w:w w:val="100"/>
    </w:rPr>
  </w:style>
  <w:style w:customStyle="1" w:styleId="PO158" w:type="character">
    <w:name w:val="批注框文本 Char"/>
    <w:basedOn w:val="PO2"/>
    <w:link w:val="PO151"/>
    <w:qFormat/>
    <w:uiPriority w:val="158"/>
    <w:semiHidden/>
    <w:rPr>
      <w:rFonts w:ascii="Tahoma" w:eastAsia="Tahoma" w:hAnsi="Tahoma"/>
      <w:shd w:val="clear"/>
      <w:sz w:val="18"/>
      <w:szCs w:val="18"/>
      <w:w w:val="100"/>
    </w:rPr>
  </w:style>
  <w:style w:customStyle="1" w:styleId="PO159" w:type="character">
    <w:name w:val="标题 1 Char"/>
    <w:basedOn w:val="PO2"/>
    <w:link w:val="PO7"/>
    <w:qFormat/>
    <w:uiPriority w:val="159"/>
    <w:rPr>
      <w:rFonts w:ascii="Times New Roman" w:eastAsia="Times New Roman" w:hAnsi="Times New Roman"/>
      <w:b/>
      <w:shd w:val="clear"/>
      <w:sz w:val="44"/>
      <w:szCs w:val="44"/>
      <w:w w:val="100"/>
    </w:rPr>
  </w:style>
  <w:style w:customStyle="1" w:styleId="PO160" w:type="character">
    <w:name w:val="标题 3 Char"/>
    <w:basedOn w:val="PO2"/>
    <w:link w:val="PO9"/>
    <w:qFormat/>
    <w:uiPriority w:val="160"/>
    <w:rPr>
      <w:rFonts w:ascii="Times New Roman" w:eastAsia="Times New Roman" w:hAnsi="Times New Roman"/>
      <w:b/>
      <w:shd w:val="clear"/>
      <w:sz w:val="32"/>
      <w:szCs w:val="32"/>
      <w:w w:val="100"/>
    </w:rPr>
  </w:style>
  <w:style w:customStyle="1" w:styleId="PO161" w:type="character">
    <w:name w:val="标题 4 Char"/>
    <w:basedOn w:val="PO2"/>
    <w:link w:val="PO10"/>
    <w:uiPriority w:val="161"/>
    <w:rPr>
      <w:rFonts w:ascii="Arial" w:eastAsia="Times New Roman" w:hAnsi="Arial"/>
      <w:b/>
      <w:shd w:val="clear"/>
      <w:sz w:val="28"/>
      <w:szCs w:val="28"/>
      <w:w w:val="100"/>
    </w:rPr>
  </w:style>
  <w:style w:customStyle="1" w:styleId="PO162" w:type="character">
    <w:name w:val="标题 5 Char"/>
    <w:basedOn w:val="PO2"/>
    <w:link w:val="PO11"/>
    <w:uiPriority w:val="162"/>
    <w:semiHidden/>
    <w:rPr>
      <w:rFonts w:ascii="Tahoma" w:eastAsia="Tahoma" w:hAnsi="Tahoma"/>
      <w:b/>
      <w:shd w:val="clear"/>
      <w:sz w:val="28"/>
      <w:szCs w:val="28"/>
      <w:w w:val="100"/>
    </w:rPr>
  </w:style>
  <w:style w:customStyle="1" w:styleId="PO163" w:type="character">
    <w:name w:val="标题 2 Char"/>
    <w:basedOn w:val="PO2"/>
    <w:link w:val="PO8"/>
    <w:uiPriority w:val="163"/>
    <w:semiHidden/>
    <w:rPr>
      <w:rFonts w:ascii="Cambria" w:eastAsia="宋体" w:hAnsi="Cambria"/>
      <w:b/>
      <w:shd w:val="clear"/>
      <w:sz w:val="32"/>
      <w:szCs w:val="32"/>
      <w:w w:val="100"/>
    </w:rPr>
  </w:style>
  <w:style w:styleId="PO164" w:type="paragraph">
    <w:name w:val="Document Map"/>
    <w:basedOn w:val="PO1"/>
    <w:link w:val="PO165"/>
    <w:uiPriority w:val="164"/>
    <w:semiHidden/>
    <w:unhideWhenUsed/>
    <w:rPr>
      <w:rFonts w:ascii="宋体" w:eastAsia="宋体" w:hAnsi="宋体"/>
      <w:shd w:val="clear"/>
      <w:sz w:val="18"/>
      <w:szCs w:val="18"/>
      <w:w w:val="100"/>
    </w:rPr>
  </w:style>
  <w:style w:customStyle="1" w:styleId="PO165" w:type="character">
    <w:name w:val="文档结构图 Char"/>
    <w:basedOn w:val="PO2"/>
    <w:link w:val="PO164"/>
    <w:uiPriority w:val="165"/>
    <w:semiHidden/>
    <w:rPr>
      <w:rFonts w:ascii="宋体" w:eastAsia="宋体" w:hAnsi="宋体"/>
      <w:shd w:val="clear"/>
      <w:sz w:val="18"/>
      <w:szCs w:val="18"/>
      <w:w w:val="100"/>
    </w:rPr>
  </w:style>
  <w:style w:customStyle="1" w:styleId="PO166" w:type="character">
    <w:name w:val="普通(网站) Char"/>
    <w:link w:val="PO167"/>
    <w:uiPriority w:val="166"/>
    <w:rPr>
      <w:rFonts w:ascii="宋体" w:eastAsia="宋体" w:hAnsi="宋体"/>
      <w:shd w:val="clear"/>
      <w:sz w:val="24"/>
      <w:szCs w:val="24"/>
      <w:w w:val="100"/>
    </w:rPr>
  </w:style>
  <w:style w:styleId="PO167" w:type="paragraph">
    <w:name w:val="Normal (Web)"/>
    <w:basedOn w:val="PO1"/>
    <w:link w:val="PO166"/>
    <w:uiPriority w:val="167"/>
    <w:pPr>
      <w:autoSpaceDE w:val="1"/>
      <w:autoSpaceDN w:val="1"/>
      <w:widowControl/>
      <w:wordWrap/>
    </w:pPr>
    <w:rPr>
      <w:rFonts w:ascii="宋体" w:eastAsia="宋体" w:hAnsi="宋体"/>
      <w:shd w:val="clear"/>
      <w:sz w:val="24"/>
      <w:szCs w:val="24"/>
      <w:w w:val="100"/>
    </w:rPr>
  </w:style>
  <w:style w:customStyle="1" w:styleId="PO168" w:type="paragraph">
    <w:name w:val="Char Char1"/>
    <w:basedOn w:val="PO7"/>
    <w:qFormat/>
    <w:uiPriority w:val="168"/>
    <w:pPr>
      <w:autoSpaceDE w:val="1"/>
      <w:autoSpaceDN w:val="1"/>
      <w:tabs>
        <w:tab w:val="left" w:pos="432"/>
      </w:tabs>
      <w:textAlignment w:val="baseline"/>
      <w:widowControl/>
      <w:wordWrap/>
    </w:pPr>
    <w:rPr>
      <w:rFonts w:ascii="黑体" w:eastAsia="黑体" w:hAnsi="黑体"/>
      <w:shd w:val="clear"/>
      <w:sz w:val="32"/>
      <w:szCs w:val="32"/>
      <w:w w:val="100"/>
    </w:rPr>
  </w:style>
  <w:style w:customStyle="1" w:styleId="PO169" w:type="paragraph">
    <w:name w:val="p0"/>
    <w:basedOn w:val="PO1"/>
    <w:qFormat/>
    <w:uiPriority w:val="169"/>
    <w:pPr>
      <w:autoSpaceDE w:val="1"/>
      <w:autoSpaceDN w:val="1"/>
      <w:jc w:val="both"/>
      <w:widowControl/>
      <w:wordWrap/>
    </w:pPr>
    <w:rPr>
      <w:rFonts w:ascii="Times New Roman" w:eastAsia="Times New Roman" w:hAnsi="Times New Roman"/>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2.xml"></Relationship><Relationship Id="rId6" Type="http://schemas.openxmlformats.org/officeDocument/2006/relationships/footer" Target="footer4.xml"></Relationship><Relationship Id="rId7" Type="http://schemas.openxmlformats.org/officeDocument/2006/relationships/footer" Target="footer42.xml"></Relationship><Relationship Id="rId8" Type="http://schemas.openxmlformats.org/officeDocument/2006/relationships/numbering" Target="numbering.xml"></Relationship><Relationship Id="rId9"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34533</Characters>
  <CharactersWithSpaces>0</CharactersWithSpaces>
  <DocSecurity>0</DocSecurity>
  <HyperlinksChanged>false</HyperlinksChanged>
  <Lines>245</Lines>
  <LinksUpToDate>false</LinksUpToDate>
  <Pages>75</Pages>
  <Paragraphs>69</Paragraphs>
  <Words>5164</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dcterms:modified xsi:type="dcterms:W3CDTF">2018-06-14T00:29:00Z</dcterms:modified>
</cp:coreProperties>
</file>