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bookmarkStart w:id="21" w:name="_GoBack"/>
      <w:bookmarkEnd w:id="21"/>
    </w:p>
    <w:p>
      <w:pPr>
        <w:spacing w:line="220" w:lineRule="atLeast"/>
        <w:jc w:val="center"/>
        <w:rPr>
          <w:rFonts w:asciiTheme="minorEastAsia" w:hAnsiTheme="minorEastAsia" w:eastAsiaTheme="minorEastAsia"/>
          <w:b/>
          <w:sz w:val="36"/>
          <w:szCs w:val="32"/>
        </w:rPr>
      </w:pPr>
      <w:r>
        <w:rPr>
          <w:rFonts w:hint="eastAsia" w:asciiTheme="minorEastAsia" w:hAnsiTheme="minorEastAsia" w:eastAsiaTheme="minorEastAsia"/>
          <w:b/>
          <w:sz w:val="36"/>
          <w:szCs w:val="32"/>
        </w:rPr>
        <w:t>恩施大峡谷地缝景区7.17特大暴雨灾后治理、恢复工程施工监理</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44"/>
          <w:szCs w:val="44"/>
        </w:rPr>
      </w:pPr>
      <w:r>
        <w:rPr>
          <w:rFonts w:hint="eastAsia" w:ascii="宋体" w:hAnsi="宋体" w:eastAsia="宋体"/>
          <w:b/>
          <w:sz w:val="44"/>
          <w:szCs w:val="44"/>
        </w:rPr>
        <w:t>竞</w:t>
      </w:r>
    </w:p>
    <w:p>
      <w:pPr>
        <w:spacing w:line="220" w:lineRule="atLeast"/>
        <w:jc w:val="center"/>
        <w:rPr>
          <w:rFonts w:ascii="宋体" w:hAnsi="宋体" w:eastAsia="宋体"/>
          <w:b/>
          <w:sz w:val="44"/>
          <w:szCs w:val="44"/>
        </w:rPr>
      </w:pPr>
      <w:r>
        <w:rPr>
          <w:rFonts w:hint="eastAsia" w:ascii="宋体" w:hAnsi="宋体" w:eastAsia="宋体"/>
          <w:b/>
          <w:sz w:val="44"/>
          <w:szCs w:val="44"/>
        </w:rPr>
        <w:t>争</w:t>
      </w:r>
    </w:p>
    <w:p>
      <w:pPr>
        <w:spacing w:line="220" w:lineRule="atLeast"/>
        <w:jc w:val="center"/>
        <w:rPr>
          <w:rFonts w:ascii="宋体" w:hAnsi="宋体" w:eastAsia="宋体"/>
          <w:b/>
          <w:sz w:val="44"/>
          <w:szCs w:val="44"/>
        </w:rPr>
      </w:pPr>
      <w:r>
        <w:rPr>
          <w:rFonts w:hint="eastAsia" w:ascii="宋体" w:hAnsi="宋体" w:eastAsia="宋体"/>
          <w:b/>
          <w:sz w:val="44"/>
          <w:szCs w:val="44"/>
        </w:rPr>
        <w:t>性</w:t>
      </w:r>
    </w:p>
    <w:p>
      <w:pPr>
        <w:spacing w:line="220" w:lineRule="atLeast"/>
        <w:jc w:val="center"/>
        <w:rPr>
          <w:rFonts w:ascii="宋体" w:hAnsi="宋体" w:eastAsia="宋体"/>
          <w:b/>
          <w:sz w:val="44"/>
          <w:szCs w:val="44"/>
        </w:rPr>
      </w:pPr>
      <w:r>
        <w:rPr>
          <w:rFonts w:hint="eastAsia" w:ascii="宋体" w:hAnsi="宋体" w:eastAsia="宋体"/>
          <w:b/>
          <w:sz w:val="44"/>
          <w:szCs w:val="44"/>
        </w:rPr>
        <w:t>谈</w:t>
      </w:r>
    </w:p>
    <w:p>
      <w:pPr>
        <w:spacing w:line="220" w:lineRule="atLeast"/>
        <w:jc w:val="center"/>
        <w:rPr>
          <w:rFonts w:ascii="宋体" w:hAnsi="宋体" w:eastAsia="宋体"/>
          <w:b/>
          <w:sz w:val="44"/>
          <w:szCs w:val="44"/>
        </w:rPr>
      </w:pPr>
      <w:r>
        <w:rPr>
          <w:rFonts w:hint="eastAsia" w:ascii="宋体" w:hAnsi="宋体" w:eastAsia="宋体"/>
          <w:b/>
          <w:sz w:val="44"/>
          <w:szCs w:val="44"/>
        </w:rPr>
        <w:t>判</w:t>
      </w: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rPr>
      </w:pPr>
      <w:r>
        <w:rPr>
          <w:rFonts w:hint="eastAsia" w:ascii="宋体" w:hAnsi="宋体" w:eastAsia="宋体"/>
          <w:b/>
          <w:sz w:val="28"/>
          <w:szCs w:val="28"/>
        </w:rPr>
        <w:t xml:space="preserve"> 采 购 人：</w:t>
      </w:r>
      <w:r>
        <w:rPr>
          <w:rFonts w:hint="eastAsia" w:ascii="宋体" w:hAnsi="宋体" w:eastAsia="宋体"/>
          <w:b/>
          <w:sz w:val="28"/>
          <w:szCs w:val="28"/>
          <w:u w:val="single"/>
        </w:rPr>
        <w:t>恩施大峡谷旅游开发有限公司</w:t>
      </w:r>
    </w:p>
    <w:p>
      <w:pPr>
        <w:spacing w:line="220" w:lineRule="atLeast"/>
        <w:ind w:firstLine="1687" w:firstLineChars="60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w:t>
      </w:r>
      <w:r>
        <w:rPr>
          <w:rFonts w:hint="eastAsia" w:ascii="宋体" w:hAnsi="宋体" w:eastAsia="宋体"/>
          <w:b/>
          <w:color w:val="000000" w:themeColor="text1"/>
          <w:sz w:val="28"/>
          <w:szCs w:val="28"/>
          <w:u w:val="single"/>
        </w:rPr>
        <w:t>ESDXG-</w:t>
      </w:r>
      <w:r>
        <w:rPr>
          <w:rFonts w:ascii="宋体" w:hAnsi="宋体" w:eastAsia="宋体"/>
          <w:b/>
          <w:color w:val="000000" w:themeColor="text1"/>
          <w:sz w:val="28"/>
          <w:szCs w:val="28"/>
          <w:u w:val="single"/>
        </w:rPr>
        <w:t>2020-</w:t>
      </w:r>
      <w:r>
        <w:rPr>
          <w:rFonts w:hint="eastAsia" w:ascii="宋体" w:hAnsi="宋体" w:eastAsia="宋体"/>
          <w:b/>
          <w:color w:val="000000" w:themeColor="text1"/>
          <w:sz w:val="28"/>
          <w:szCs w:val="28"/>
          <w:u w:val="single"/>
        </w:rPr>
        <w:t>WX</w:t>
      </w:r>
      <w:r>
        <w:rPr>
          <w:rFonts w:ascii="宋体" w:hAnsi="宋体" w:eastAsia="宋体"/>
          <w:b/>
          <w:color w:val="000000" w:themeColor="text1"/>
          <w:sz w:val="28"/>
          <w:szCs w:val="28"/>
          <w:u w:val="single"/>
        </w:rPr>
        <w:t>-</w:t>
      </w:r>
      <w:r>
        <w:rPr>
          <w:rFonts w:hint="eastAsia" w:ascii="宋体" w:hAnsi="宋体" w:eastAsia="宋体"/>
          <w:b/>
          <w:color w:val="000000" w:themeColor="text1"/>
          <w:sz w:val="28"/>
          <w:szCs w:val="28"/>
          <w:u w:val="single"/>
        </w:rPr>
        <w:t>JL</w:t>
      </w:r>
      <w:r>
        <w:rPr>
          <w:rFonts w:ascii="宋体" w:hAnsi="宋体" w:eastAsia="宋体"/>
          <w:b/>
          <w:color w:val="000000" w:themeColor="text1"/>
          <w:sz w:val="28"/>
          <w:szCs w:val="28"/>
          <w:u w:val="single"/>
        </w:rPr>
        <w:t>-</w:t>
      </w:r>
      <w:r>
        <w:rPr>
          <w:rFonts w:hint="eastAsia" w:ascii="宋体" w:hAnsi="宋体" w:eastAsia="宋体"/>
          <w:b/>
          <w:color w:val="000000" w:themeColor="text1"/>
          <w:sz w:val="28"/>
          <w:szCs w:val="28"/>
          <w:u w:val="single"/>
        </w:rPr>
        <w:t>00</w:t>
      </w:r>
      <w:r>
        <w:rPr>
          <w:rFonts w:ascii="宋体" w:hAnsi="宋体" w:eastAsia="宋体"/>
          <w:b/>
          <w:color w:val="000000" w:themeColor="text1"/>
          <w:sz w:val="28"/>
          <w:szCs w:val="28"/>
          <w:u w:val="single"/>
        </w:rPr>
        <w:t>1</w:t>
      </w:r>
      <w:r>
        <w:rPr>
          <w:rFonts w:hint="eastAsia" w:ascii="宋体" w:hAnsi="宋体" w:eastAsia="宋体"/>
          <w:b/>
          <w:sz w:val="28"/>
          <w:szCs w:val="28"/>
          <w:u w:val="single"/>
        </w:rPr>
        <w:t xml:space="preserve">   </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w:t>
      </w:r>
      <w:r>
        <w:rPr>
          <w:rFonts w:ascii="仿宋" w:hAnsi="仿宋" w:eastAsia="仿宋"/>
          <w:b/>
          <w:sz w:val="32"/>
          <w:szCs w:val="32"/>
        </w:rPr>
        <w:t>20</w:t>
      </w:r>
      <w:r>
        <w:rPr>
          <w:rFonts w:hint="eastAsia" w:ascii="仿宋" w:hAnsi="仿宋" w:eastAsia="仿宋"/>
          <w:b/>
          <w:sz w:val="32"/>
          <w:szCs w:val="32"/>
        </w:rPr>
        <w:t>年0</w:t>
      </w:r>
      <w:r>
        <w:rPr>
          <w:rFonts w:ascii="仿宋" w:hAnsi="仿宋" w:eastAsia="仿宋"/>
          <w:b/>
          <w:sz w:val="32"/>
          <w:szCs w:val="32"/>
        </w:rPr>
        <w:t>8</w:t>
      </w:r>
      <w:r>
        <w:rPr>
          <w:rFonts w:hint="eastAsia" w:ascii="仿宋" w:hAnsi="仿宋" w:eastAsia="仿宋"/>
          <w:b/>
          <w:sz w:val="32"/>
          <w:szCs w:val="32"/>
        </w:rPr>
        <w:t>月</w:t>
      </w:r>
    </w:p>
    <w:p>
      <w:pPr>
        <w:spacing w:line="220" w:lineRule="atLeast"/>
      </w:pPr>
    </w:p>
    <w:sdt>
      <w:sdtPr>
        <w:rPr>
          <w:rFonts w:ascii="Tahoma" w:hAnsi="Tahoma" w:eastAsia="微软雅黑" w:cstheme="minorBidi"/>
          <w:b w:val="0"/>
          <w:bCs w:val="0"/>
          <w:color w:val="auto"/>
          <w:sz w:val="22"/>
          <w:szCs w:val="22"/>
          <w:lang w:val="zh-CN"/>
        </w:rPr>
        <w:id w:val="7095534"/>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29"/>
            <w:jc w:val="cente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pPr>
            <w:pStyle w:val="12"/>
            <w:tabs>
              <w:tab w:val="right" w:leader="dot" w:pos="8296"/>
            </w:tabs>
            <w:rPr>
              <w:rFonts w:asciiTheme="minorHAnsi" w:hAnsiTheme="minorHAnsi" w:eastAsiaTheme="minorEastAsia"/>
              <w:kern w:val="2"/>
              <w:sz w:val="21"/>
            </w:rPr>
          </w:pPr>
          <w:r>
            <w:fldChar w:fldCharType="begin"/>
          </w:r>
          <w:r>
            <w:instrText xml:space="preserve"> TOC \o "1-3" \h \z \u </w:instrText>
          </w:r>
          <w:r>
            <w:fldChar w:fldCharType="separate"/>
          </w:r>
          <w:r>
            <w:fldChar w:fldCharType="begin"/>
          </w:r>
          <w:r>
            <w:instrText xml:space="preserve"> HYPERLINK \l "_Toc504125538" </w:instrText>
          </w:r>
          <w:r>
            <w:fldChar w:fldCharType="separate"/>
          </w:r>
          <w:r>
            <w:rPr>
              <w:rStyle w:val="18"/>
              <w:rFonts w:hint="eastAsia" w:ascii="宋体" w:hAnsi="宋体"/>
            </w:rPr>
            <w:t>第一章</w:t>
          </w:r>
          <w:r>
            <w:rPr>
              <w:rStyle w:val="18"/>
              <w:rFonts w:ascii="宋体" w:hAnsi="宋体"/>
            </w:rPr>
            <w:t xml:space="preserve">  </w:t>
          </w:r>
          <w:r>
            <w:rPr>
              <w:rStyle w:val="18"/>
              <w:rFonts w:hint="eastAsia" w:ascii="宋体" w:hAnsi="宋体"/>
            </w:rPr>
            <w:t>谈判公告</w:t>
          </w:r>
          <w:r>
            <w:tab/>
          </w:r>
          <w:r>
            <w:fldChar w:fldCharType="begin"/>
          </w:r>
          <w:r>
            <w:instrText xml:space="preserve"> PAGEREF _Toc504125538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kern w:val="2"/>
              <w:sz w:val="21"/>
            </w:rPr>
          </w:pPr>
          <w:r>
            <w:fldChar w:fldCharType="begin"/>
          </w:r>
          <w:r>
            <w:instrText xml:space="preserve"> HYPERLINK \l "_Toc504125539" </w:instrText>
          </w:r>
          <w:r>
            <w:fldChar w:fldCharType="separate"/>
          </w:r>
          <w:r>
            <w:rPr>
              <w:rStyle w:val="18"/>
              <w:rFonts w:hint="eastAsia" w:ascii="宋体" w:hAnsi="宋体"/>
            </w:rPr>
            <w:t>第二章</w:t>
          </w:r>
          <w:r>
            <w:rPr>
              <w:rStyle w:val="18"/>
              <w:rFonts w:ascii="宋体" w:hAnsi="宋体"/>
            </w:rPr>
            <w:t xml:space="preserve"> </w:t>
          </w:r>
          <w:r>
            <w:rPr>
              <w:rStyle w:val="18"/>
              <w:rFonts w:hint="eastAsia" w:ascii="宋体" w:hAnsi="宋体"/>
            </w:rPr>
            <w:t>投标人须知</w:t>
          </w:r>
          <w:r>
            <w:tab/>
          </w:r>
          <w:r>
            <w:fldChar w:fldCharType="begin"/>
          </w:r>
          <w:r>
            <w:instrText xml:space="preserve"> PAGEREF _Toc504125539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kern w:val="2"/>
              <w:sz w:val="21"/>
            </w:rPr>
          </w:pPr>
          <w:r>
            <w:fldChar w:fldCharType="begin"/>
          </w:r>
          <w:r>
            <w:instrText xml:space="preserve"> HYPERLINK \l "_Toc504125540" </w:instrText>
          </w:r>
          <w:r>
            <w:fldChar w:fldCharType="separate"/>
          </w:r>
          <w:r>
            <w:rPr>
              <w:rStyle w:val="18"/>
              <w:rFonts w:hint="eastAsia" w:ascii="宋体" w:hAnsi="宋体" w:cs="MingLiU"/>
            </w:rPr>
            <w:t>第三章</w:t>
          </w:r>
          <w:r>
            <w:rPr>
              <w:rStyle w:val="18"/>
              <w:rFonts w:ascii="宋体" w:hAnsi="宋体"/>
            </w:rPr>
            <w:t xml:space="preserve"> </w:t>
          </w:r>
          <w:r>
            <w:rPr>
              <w:rStyle w:val="18"/>
              <w:rFonts w:hint="eastAsia" w:ascii="宋体" w:hAnsi="宋体" w:cs="MingLiU"/>
            </w:rPr>
            <w:t>评标办法（综合评分法）</w:t>
          </w:r>
          <w:r>
            <w:tab/>
          </w:r>
          <w:r>
            <w:fldChar w:fldCharType="begin"/>
          </w:r>
          <w:r>
            <w:instrText xml:space="preserve"> PAGEREF _Toc504125540 \h </w:instrText>
          </w:r>
          <w:r>
            <w:fldChar w:fldCharType="separate"/>
          </w:r>
          <w:r>
            <w:t>15</w:t>
          </w:r>
          <w:r>
            <w:fldChar w:fldCharType="end"/>
          </w:r>
          <w:r>
            <w:fldChar w:fldCharType="end"/>
          </w:r>
        </w:p>
        <w:p>
          <w:pPr>
            <w:pStyle w:val="8"/>
            <w:tabs>
              <w:tab w:val="right" w:leader="dot" w:pos="8296"/>
            </w:tabs>
            <w:ind w:left="880"/>
            <w:rPr>
              <w:rStyle w:val="18"/>
              <w:rFonts w:ascii="宋体" w:hAnsi="宋体" w:cs="MingLiU"/>
            </w:rPr>
          </w:pPr>
          <w:r>
            <w:fldChar w:fldCharType="begin"/>
          </w:r>
          <w:r>
            <w:instrText xml:space="preserve"> HYPERLINK \l "_Toc504125541" </w:instrText>
          </w:r>
          <w:r>
            <w:fldChar w:fldCharType="separate"/>
          </w:r>
          <w:r>
            <w:rPr>
              <w:rStyle w:val="18"/>
              <w:rFonts w:hint="eastAsia" w:ascii="宋体" w:hAnsi="宋体" w:cs="MingLiU"/>
            </w:rPr>
            <w:t>评标办法前附表</w:t>
          </w:r>
          <w:r>
            <w:rPr>
              <w:rStyle w:val="18"/>
              <w:rFonts w:ascii="宋体" w:hAnsi="宋体" w:cs="MingLiU"/>
            </w:rPr>
            <w:tab/>
          </w:r>
          <w:r>
            <w:rPr>
              <w:rStyle w:val="18"/>
              <w:rFonts w:ascii="宋体" w:hAnsi="宋体" w:cs="MingLiU"/>
            </w:rPr>
            <w:fldChar w:fldCharType="begin"/>
          </w:r>
          <w:r>
            <w:rPr>
              <w:rStyle w:val="18"/>
              <w:rFonts w:ascii="宋体" w:hAnsi="宋体" w:cs="MingLiU"/>
            </w:rPr>
            <w:instrText xml:space="preserve"> PAGEREF _Toc504125541 \h </w:instrText>
          </w:r>
          <w:r>
            <w:rPr>
              <w:rStyle w:val="18"/>
              <w:rFonts w:ascii="宋体" w:hAnsi="宋体" w:cs="MingLiU"/>
            </w:rPr>
            <w:fldChar w:fldCharType="separate"/>
          </w:r>
          <w:r>
            <w:rPr>
              <w:rStyle w:val="18"/>
              <w:rFonts w:ascii="宋体" w:hAnsi="宋体" w:cs="MingLiU"/>
            </w:rPr>
            <w:t>15</w:t>
          </w:r>
          <w:r>
            <w:rPr>
              <w:rStyle w:val="18"/>
              <w:rFonts w:ascii="宋体" w:hAnsi="宋体" w:cs="MingLiU"/>
            </w:rPr>
            <w:fldChar w:fldCharType="end"/>
          </w:r>
          <w:r>
            <w:rPr>
              <w:rStyle w:val="18"/>
              <w:rFonts w:ascii="宋体" w:hAnsi="宋体" w:cs="MingLiU"/>
            </w:rPr>
            <w:fldChar w:fldCharType="end"/>
          </w:r>
        </w:p>
        <w:p>
          <w:pPr>
            <w:pStyle w:val="12"/>
            <w:tabs>
              <w:tab w:val="right" w:leader="dot" w:pos="8296"/>
            </w:tabs>
            <w:rPr>
              <w:rFonts w:asciiTheme="minorHAnsi" w:hAnsiTheme="minorHAnsi" w:eastAsiaTheme="minorEastAsia"/>
              <w:kern w:val="2"/>
              <w:sz w:val="21"/>
            </w:rPr>
          </w:pPr>
          <w:r>
            <w:fldChar w:fldCharType="begin"/>
          </w:r>
          <w:r>
            <w:instrText xml:space="preserve"> HYPERLINK \l "_Toc504125545" </w:instrText>
          </w:r>
          <w:r>
            <w:fldChar w:fldCharType="separate"/>
          </w:r>
          <w:r>
            <w:rPr>
              <w:rStyle w:val="18"/>
              <w:rFonts w:hint="eastAsia" w:ascii="宋体" w:hAnsi="宋体"/>
            </w:rPr>
            <w:t>第四章</w:t>
          </w:r>
          <w:r>
            <w:rPr>
              <w:rStyle w:val="18"/>
              <w:rFonts w:ascii="宋体" w:hAnsi="宋体"/>
            </w:rPr>
            <w:t xml:space="preserve">  </w:t>
          </w:r>
          <w:r>
            <w:rPr>
              <w:rStyle w:val="18"/>
              <w:rFonts w:hint="eastAsia" w:ascii="宋体" w:hAnsi="宋体"/>
            </w:rPr>
            <w:t>谈判响应文件格式</w:t>
          </w:r>
          <w:r>
            <w:tab/>
          </w:r>
          <w:r>
            <w:fldChar w:fldCharType="begin"/>
          </w:r>
          <w:r>
            <w:instrText xml:space="preserve"> PAGEREF _Toc504125545 \h </w:instrText>
          </w:r>
          <w:r>
            <w:fldChar w:fldCharType="separate"/>
          </w:r>
          <w:r>
            <w:t>20</w:t>
          </w:r>
          <w:r>
            <w:fldChar w:fldCharType="end"/>
          </w:r>
          <w:r>
            <w:fldChar w:fldCharType="end"/>
          </w:r>
        </w:p>
        <w:p>
          <w: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pStyle w:val="2"/>
        <w:jc w:val="center"/>
        <w:rPr>
          <w:rFonts w:ascii="宋体" w:hAnsi="宋体"/>
          <w:b w:val="0"/>
          <w:sz w:val="28"/>
          <w:szCs w:val="28"/>
        </w:rPr>
      </w:pPr>
      <w:bookmarkStart w:id="0" w:name="_Toc504125538"/>
      <w:r>
        <w:rPr>
          <w:rFonts w:hint="eastAsia" w:ascii="宋体" w:hAnsi="宋体"/>
          <w:sz w:val="28"/>
          <w:szCs w:val="28"/>
        </w:rPr>
        <w:t>第一章  竞争性谈判公告</w:t>
      </w:r>
      <w:bookmarkEnd w:id="0"/>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u w:val="single"/>
        </w:rPr>
        <w:t>恩施大峡谷旅游开发有限公司</w:t>
      </w:r>
      <w:r>
        <w:rPr>
          <w:rFonts w:hint="eastAsia" w:ascii="仿宋" w:hAnsi="仿宋" w:eastAsia="仿宋" w:cs="Times New Roman"/>
          <w:sz w:val="24"/>
          <w:szCs w:val="24"/>
        </w:rPr>
        <w:t>拟对</w:t>
      </w:r>
      <w:r>
        <w:rPr>
          <w:rFonts w:hint="eastAsia" w:ascii="仿宋" w:hAnsi="仿宋" w:eastAsia="仿宋" w:cs="Times New Roman"/>
          <w:sz w:val="24"/>
          <w:szCs w:val="24"/>
          <w:u w:val="single"/>
        </w:rPr>
        <w:t>恩施大峡谷地缝景区7.17特大暴雨灾后治理、恢复工程</w:t>
      </w:r>
      <w:r>
        <w:rPr>
          <w:rFonts w:hint="eastAsia" w:ascii="仿宋" w:hAnsi="仿宋" w:eastAsia="仿宋" w:cs="Times New Roman"/>
          <w:sz w:val="24"/>
          <w:szCs w:val="24"/>
        </w:rPr>
        <w:t>施工监理服务进行竞争性谈判，</w:t>
      </w:r>
      <w:r>
        <w:rPr>
          <w:rFonts w:hint="eastAsia" w:ascii="仿宋" w:hAnsi="仿宋" w:eastAsia="仿宋"/>
          <w:sz w:val="24"/>
          <w:szCs w:val="24"/>
        </w:rPr>
        <w:t>欢迎符合条件的监理单位前来投标。</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1、项目名称：</w:t>
      </w:r>
      <w:r>
        <w:rPr>
          <w:rFonts w:hint="eastAsia" w:ascii="仿宋" w:hAnsi="仿宋" w:eastAsia="仿宋" w:cs="Times New Roman"/>
          <w:sz w:val="24"/>
          <w:szCs w:val="24"/>
        </w:rPr>
        <w:t>恩施大峡谷地缝景区7.17特大暴雨灾后治理、恢复工程</w:t>
      </w:r>
      <w:r>
        <w:rPr>
          <w:rFonts w:hint="eastAsia" w:ascii="仿宋" w:hAnsi="仿宋" w:eastAsia="仿宋"/>
          <w:sz w:val="24"/>
          <w:szCs w:val="24"/>
        </w:rPr>
        <w:t>。</w:t>
      </w:r>
    </w:p>
    <w:p>
      <w:pPr>
        <w:spacing w:after="0" w:line="360" w:lineRule="auto"/>
        <w:ind w:firstLine="600" w:firstLineChars="250"/>
        <w:rPr>
          <w:rFonts w:ascii="仿宋" w:hAnsi="仿宋" w:eastAsia="仿宋"/>
          <w:sz w:val="24"/>
        </w:rPr>
      </w:pPr>
      <w:r>
        <w:rPr>
          <w:rFonts w:hint="eastAsia" w:ascii="仿宋" w:hAnsi="仿宋" w:eastAsia="仿宋"/>
          <w:sz w:val="24"/>
          <w:szCs w:val="24"/>
        </w:rPr>
        <w:t>2、项目概况：</w:t>
      </w:r>
      <w:r>
        <w:rPr>
          <w:rFonts w:hint="eastAsia" w:ascii="仿宋" w:hAnsi="仿宋" w:eastAsia="仿宋" w:cs="Times New Roman"/>
          <w:sz w:val="24"/>
          <w:szCs w:val="24"/>
        </w:rPr>
        <w:t>本工程位于恩施大峡谷</w:t>
      </w:r>
      <w:r>
        <w:rPr>
          <w:rFonts w:hint="eastAsia" w:ascii="仿宋" w:hAnsi="仿宋" w:eastAsia="仿宋"/>
          <w:sz w:val="24"/>
        </w:rPr>
        <w:t>。（详见设计文件）</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3、采购编号：ESDXG-</w:t>
      </w:r>
      <w:r>
        <w:rPr>
          <w:rFonts w:ascii="仿宋" w:hAnsi="仿宋" w:eastAsia="仿宋"/>
          <w:sz w:val="24"/>
          <w:szCs w:val="24"/>
        </w:rPr>
        <w:t>2020-</w:t>
      </w:r>
      <w:r>
        <w:rPr>
          <w:rFonts w:hint="eastAsia" w:ascii="仿宋" w:hAnsi="仿宋" w:eastAsia="仿宋"/>
          <w:sz w:val="24"/>
          <w:szCs w:val="24"/>
        </w:rPr>
        <w:t>WX</w:t>
      </w:r>
      <w:r>
        <w:rPr>
          <w:rFonts w:ascii="仿宋" w:hAnsi="仿宋" w:eastAsia="仿宋"/>
          <w:sz w:val="24"/>
          <w:szCs w:val="24"/>
        </w:rPr>
        <w:t>-</w:t>
      </w:r>
      <w:r>
        <w:rPr>
          <w:rFonts w:hint="eastAsia" w:ascii="仿宋" w:hAnsi="仿宋" w:eastAsia="仿宋"/>
          <w:sz w:val="24"/>
          <w:szCs w:val="24"/>
        </w:rPr>
        <w:t>JL</w:t>
      </w:r>
      <w:r>
        <w:rPr>
          <w:rFonts w:ascii="仿宋" w:hAnsi="仿宋" w:eastAsia="仿宋"/>
          <w:sz w:val="24"/>
          <w:szCs w:val="24"/>
        </w:rPr>
        <w:t>-</w:t>
      </w:r>
      <w:r>
        <w:rPr>
          <w:rFonts w:hint="eastAsia" w:ascii="仿宋" w:hAnsi="仿宋" w:eastAsia="仿宋"/>
          <w:sz w:val="24"/>
          <w:szCs w:val="24"/>
        </w:rPr>
        <w:t>00</w:t>
      </w:r>
      <w:r>
        <w:rPr>
          <w:rFonts w:ascii="仿宋" w:hAnsi="仿宋" w:eastAsia="仿宋"/>
          <w:sz w:val="24"/>
          <w:szCs w:val="24"/>
        </w:rPr>
        <w:t>1</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4、采购方式：竞争性谈判。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5、采购内容及投标限价： </w:t>
      </w:r>
    </w:p>
    <w:p>
      <w:pPr>
        <w:spacing w:after="0" w:line="360" w:lineRule="auto"/>
        <w:ind w:firstLine="550" w:firstLineChars="250"/>
        <w:jc w:val="both"/>
        <w:rPr>
          <w:rFonts w:ascii="仿宋" w:hAnsi="仿宋" w:eastAsia="仿宋"/>
          <w:sz w:val="24"/>
          <w:szCs w:val="24"/>
        </w:rPr>
      </w:pPr>
      <w:r>
        <w:rPr>
          <w:rFonts w:hint="eastAsia" w:ascii="仿宋" w:hAnsi="仿宋" w:eastAsia="仿宋"/>
          <w:szCs w:val="24"/>
        </w:rPr>
        <w:t>5.1采购内容：</w:t>
      </w:r>
      <w:r>
        <w:rPr>
          <w:rFonts w:hint="eastAsia" w:ascii="仿宋" w:hAnsi="仿宋" w:eastAsia="仿宋" w:cs="Times New Roman"/>
          <w:sz w:val="24"/>
          <w:szCs w:val="24"/>
        </w:rPr>
        <w:t>恩施大峡谷地缝景区7.17特大暴雨灾后治理、恢复工程施工监理承包服务。</w:t>
      </w:r>
    </w:p>
    <w:p>
      <w:pPr>
        <w:spacing w:after="0" w:line="360" w:lineRule="auto"/>
        <w:ind w:firstLine="600" w:firstLineChars="250"/>
        <w:jc w:val="both"/>
        <w:rPr>
          <w:rFonts w:ascii="仿宋" w:hAnsi="仿宋" w:eastAsia="仿宋"/>
          <w:bCs/>
          <w:sz w:val="24"/>
          <w:szCs w:val="24"/>
        </w:rPr>
      </w:pPr>
      <w:r>
        <w:rPr>
          <w:rFonts w:hint="eastAsia" w:ascii="仿宋" w:hAnsi="仿宋" w:eastAsia="仿宋"/>
          <w:bCs/>
          <w:sz w:val="24"/>
          <w:szCs w:val="24"/>
        </w:rPr>
        <w:t>5.2投标限价：</w:t>
      </w:r>
      <w:r>
        <w:rPr>
          <w:rFonts w:hint="eastAsia" w:ascii="仿宋" w:hAnsi="仿宋" w:eastAsia="仿宋"/>
          <w:bCs/>
          <w:color w:val="000000" w:themeColor="text1"/>
          <w:sz w:val="24"/>
          <w:szCs w:val="24"/>
        </w:rPr>
        <w:t>柒万伍仟元整（￥7</w:t>
      </w:r>
      <w:r>
        <w:rPr>
          <w:rFonts w:ascii="仿宋" w:hAnsi="仿宋" w:eastAsia="仿宋"/>
          <w:bCs/>
          <w:color w:val="000000" w:themeColor="text1"/>
          <w:sz w:val="24"/>
          <w:szCs w:val="24"/>
        </w:rPr>
        <w:t>5000</w:t>
      </w:r>
      <w:r>
        <w:rPr>
          <w:rFonts w:hint="eastAsia" w:ascii="仿宋" w:hAnsi="仿宋" w:eastAsia="仿宋"/>
          <w:bCs/>
          <w:color w:val="000000" w:themeColor="text1"/>
          <w:sz w:val="24"/>
          <w:szCs w:val="24"/>
        </w:rPr>
        <w:t>.00元）（最高限价）</w:t>
      </w:r>
      <w:r>
        <w:rPr>
          <w:rFonts w:hint="eastAsia" w:ascii="仿宋" w:hAnsi="仿宋" w:eastAsia="仿宋"/>
          <w:bCs/>
          <w:sz w:val="24"/>
          <w:szCs w:val="24"/>
        </w:rPr>
        <w:t xml:space="preserve">。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6、计划工期：</w:t>
      </w:r>
    </w:p>
    <w:p>
      <w:pPr>
        <w:spacing w:after="0" w:line="360" w:lineRule="auto"/>
        <w:ind w:firstLine="600" w:firstLineChars="250"/>
        <w:jc w:val="both"/>
        <w:rPr>
          <w:rFonts w:ascii="仿宋" w:hAnsi="仿宋" w:eastAsia="仿宋" w:cs="Times New Roman"/>
          <w:sz w:val="24"/>
          <w:szCs w:val="24"/>
        </w:rPr>
      </w:pPr>
      <w:r>
        <w:rPr>
          <w:rFonts w:hint="eastAsia" w:ascii="仿宋" w:hAnsi="仿宋" w:eastAsia="仿宋" w:cs="Times New Roman"/>
          <w:sz w:val="24"/>
          <w:szCs w:val="24"/>
        </w:rPr>
        <w:t>合同签订之日至9月3</w:t>
      </w:r>
      <w:r>
        <w:rPr>
          <w:rFonts w:ascii="仿宋" w:hAnsi="仿宋" w:eastAsia="仿宋" w:cs="Times New Roman"/>
          <w:sz w:val="24"/>
          <w:szCs w:val="24"/>
        </w:rPr>
        <w:t>0</w:t>
      </w:r>
      <w:r>
        <w:rPr>
          <w:rFonts w:hint="eastAsia" w:ascii="仿宋" w:hAnsi="仿宋" w:eastAsia="仿宋" w:cs="Times New Roman"/>
          <w:sz w:val="24"/>
          <w:szCs w:val="24"/>
        </w:rPr>
        <w:t>日</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7、投标人资格条件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7.1本次谈判要求投标人同时具备以下条件: </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（1）符合《政府采购法》第二十二条规定的投标人资格条件； </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（2）具有有效的营业执照，执照范围应包含施工监理服务。</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3</w:t>
      </w:r>
      <w:r>
        <w:rPr>
          <w:rFonts w:hint="eastAsia" w:ascii="仿宋" w:hAnsi="仿宋" w:eastAsia="仿宋"/>
          <w:b/>
          <w:sz w:val="24"/>
          <w:szCs w:val="24"/>
        </w:rPr>
        <w:t>）具有建设行政主管部门核发的房屋建筑工程或市政公用工程乙级及以上乙级及以上监理资质，并在人员、设备、资金等方面具有相应的监理能力；</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4</w:t>
      </w:r>
      <w:r>
        <w:rPr>
          <w:rFonts w:hint="eastAsia" w:ascii="仿宋" w:hAnsi="仿宋" w:eastAsia="仿宋"/>
          <w:b/>
          <w:sz w:val="24"/>
          <w:szCs w:val="24"/>
        </w:rPr>
        <w:t>）201</w:t>
      </w:r>
      <w:r>
        <w:rPr>
          <w:rFonts w:ascii="仿宋" w:hAnsi="仿宋" w:eastAsia="仿宋"/>
          <w:b/>
          <w:sz w:val="24"/>
          <w:szCs w:val="24"/>
        </w:rPr>
        <w:t>7</w:t>
      </w:r>
      <w:r>
        <w:rPr>
          <w:rFonts w:hint="eastAsia" w:ascii="仿宋" w:hAnsi="仿宋" w:eastAsia="仿宋"/>
          <w:b/>
          <w:sz w:val="24"/>
          <w:szCs w:val="24"/>
        </w:rPr>
        <w:t>年1月至今独立承担过至少一项单项合同额不低于</w:t>
      </w:r>
      <w:r>
        <w:rPr>
          <w:rFonts w:ascii="仿宋" w:hAnsi="仿宋" w:eastAsia="仿宋"/>
          <w:b/>
          <w:sz w:val="24"/>
          <w:szCs w:val="24"/>
        </w:rPr>
        <w:t>400</w:t>
      </w:r>
      <w:r>
        <w:rPr>
          <w:rFonts w:hint="eastAsia" w:ascii="仿宋" w:hAnsi="仿宋" w:eastAsia="仿宋"/>
          <w:b/>
          <w:sz w:val="24"/>
          <w:szCs w:val="24"/>
        </w:rPr>
        <w:t>万元的房屋建筑工程或一项单项合同额不低于300万元的市政公用工程监理项目；</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5</w:t>
      </w:r>
      <w:r>
        <w:rPr>
          <w:rFonts w:hint="eastAsia" w:ascii="仿宋" w:hAnsi="仿宋" w:eastAsia="仿宋"/>
          <w:b/>
          <w:sz w:val="24"/>
          <w:szCs w:val="24"/>
        </w:rPr>
        <w:t xml:space="preserve">）总监理工程师应具备国家注册监理工程师证书，注册专业有房屋建筑或市政公用工程，且为本单位人员； </w:t>
      </w:r>
    </w:p>
    <w:p>
      <w:pPr>
        <w:spacing w:after="0" w:line="360" w:lineRule="auto"/>
        <w:jc w:val="both"/>
        <w:rPr>
          <w:rFonts w:ascii="仿宋" w:hAnsi="仿宋" w:eastAsia="仿宋" w:cs="宋体"/>
          <w:b/>
          <w:sz w:val="24"/>
          <w:szCs w:val="24"/>
        </w:rPr>
      </w:pPr>
      <w:r>
        <w:rPr>
          <w:rFonts w:hint="eastAsia" w:ascii="仿宋" w:hAnsi="仿宋" w:eastAsia="仿宋"/>
          <w:b/>
          <w:sz w:val="24"/>
          <w:szCs w:val="24"/>
        </w:rPr>
        <w:t xml:space="preserve">     （</w:t>
      </w:r>
      <w:r>
        <w:rPr>
          <w:rFonts w:ascii="仿宋" w:hAnsi="仿宋" w:eastAsia="仿宋"/>
          <w:b/>
          <w:sz w:val="24"/>
          <w:szCs w:val="24"/>
        </w:rPr>
        <w:t>6</w:t>
      </w:r>
      <w:r>
        <w:rPr>
          <w:rFonts w:hint="eastAsia" w:ascii="仿宋" w:hAnsi="仿宋" w:eastAsia="仿宋"/>
          <w:b/>
          <w:sz w:val="24"/>
          <w:szCs w:val="24"/>
        </w:rPr>
        <w:t>）</w:t>
      </w:r>
      <w:r>
        <w:rPr>
          <w:rFonts w:hint="eastAsia" w:ascii="仿宋" w:hAnsi="仿宋" w:eastAsia="仿宋" w:cs="宋体"/>
          <w:b/>
          <w:sz w:val="24"/>
          <w:szCs w:val="24"/>
        </w:rPr>
        <w:t>投标人提供近三年（201</w:t>
      </w:r>
      <w:r>
        <w:rPr>
          <w:rFonts w:ascii="仿宋" w:hAnsi="仿宋" w:eastAsia="仿宋" w:cs="宋体"/>
          <w:b/>
          <w:sz w:val="24"/>
          <w:szCs w:val="24"/>
        </w:rPr>
        <w:t>7</w:t>
      </w:r>
      <w:r>
        <w:rPr>
          <w:rFonts w:hint="eastAsia" w:ascii="仿宋" w:hAnsi="仿宋" w:eastAsia="仿宋" w:cs="宋体"/>
          <w:b/>
          <w:sz w:val="24"/>
          <w:szCs w:val="24"/>
        </w:rPr>
        <w:t>年、201</w:t>
      </w:r>
      <w:r>
        <w:rPr>
          <w:rFonts w:ascii="仿宋" w:hAnsi="仿宋" w:eastAsia="仿宋" w:cs="宋体"/>
          <w:b/>
          <w:sz w:val="24"/>
          <w:szCs w:val="24"/>
        </w:rPr>
        <w:t>8</w:t>
      </w:r>
      <w:r>
        <w:rPr>
          <w:rFonts w:hint="eastAsia" w:ascii="仿宋" w:hAnsi="仿宋" w:eastAsia="仿宋" w:cs="宋体"/>
          <w:b/>
          <w:sz w:val="24"/>
          <w:szCs w:val="24"/>
        </w:rPr>
        <w:t>年、201</w:t>
      </w:r>
      <w:r>
        <w:rPr>
          <w:rFonts w:ascii="仿宋" w:hAnsi="仿宋" w:eastAsia="仿宋" w:cs="宋体"/>
          <w:b/>
          <w:sz w:val="24"/>
          <w:szCs w:val="24"/>
        </w:rPr>
        <w:t>9</w:t>
      </w:r>
      <w:r>
        <w:rPr>
          <w:rFonts w:hint="eastAsia" w:ascii="仿宋" w:hAnsi="仿宋" w:eastAsia="仿宋" w:cs="宋体"/>
          <w:b/>
          <w:sz w:val="24"/>
          <w:szCs w:val="24"/>
        </w:rPr>
        <w:t>年）经会计师事务所或审计机构审计的财务会计报表，并未发生亏损；</w:t>
      </w:r>
    </w:p>
    <w:p>
      <w:pPr>
        <w:spacing w:after="0" w:line="360" w:lineRule="auto"/>
        <w:jc w:val="both"/>
        <w:rPr>
          <w:rFonts w:ascii="仿宋" w:hAnsi="仿宋" w:eastAsia="仿宋"/>
          <w:b/>
          <w:sz w:val="24"/>
          <w:szCs w:val="24"/>
        </w:rPr>
      </w:pPr>
      <w:r>
        <w:rPr>
          <w:rFonts w:hint="eastAsia" w:ascii="仿宋" w:hAnsi="仿宋" w:eastAsia="仿宋" w:cs="宋体"/>
          <w:b/>
          <w:sz w:val="24"/>
          <w:szCs w:val="24"/>
        </w:rPr>
        <w:t xml:space="preserve">     （</w:t>
      </w:r>
      <w:r>
        <w:rPr>
          <w:rFonts w:ascii="仿宋" w:hAnsi="仿宋" w:eastAsia="仿宋" w:cs="宋体"/>
          <w:b/>
          <w:sz w:val="24"/>
          <w:szCs w:val="24"/>
        </w:rPr>
        <w:t>7</w:t>
      </w:r>
      <w:r>
        <w:rPr>
          <w:rFonts w:hint="eastAsia" w:ascii="仿宋" w:hAnsi="仿宋" w:eastAsia="仿宋" w:cs="宋体"/>
          <w:b/>
          <w:sz w:val="24"/>
          <w:szCs w:val="24"/>
        </w:rPr>
        <w:t>）拟派的项目负责人、总监理工程师、专业监理工程师及监理员等近3个月（投标截止日前推</w:t>
      </w:r>
      <w:r>
        <w:rPr>
          <w:rFonts w:ascii="仿宋" w:hAnsi="仿宋" w:eastAsia="仿宋" w:cs="宋体"/>
          <w:b/>
          <w:sz w:val="24"/>
          <w:szCs w:val="24"/>
        </w:rPr>
        <w:t>3</w:t>
      </w:r>
      <w:r>
        <w:rPr>
          <w:rFonts w:hint="eastAsia" w:ascii="仿宋" w:hAnsi="仿宋" w:eastAsia="仿宋" w:cs="宋体"/>
          <w:b/>
          <w:sz w:val="24"/>
          <w:szCs w:val="24"/>
        </w:rPr>
        <w:t>个月）的社保明细（社保局盖章）。</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w:t>
      </w:r>
      <w:r>
        <w:rPr>
          <w:rFonts w:ascii="仿宋" w:hAnsi="仿宋" w:eastAsia="仿宋"/>
          <w:b/>
          <w:sz w:val="24"/>
          <w:szCs w:val="24"/>
        </w:rPr>
        <w:t>8</w:t>
      </w:r>
      <w:r>
        <w:rPr>
          <w:rFonts w:hint="eastAsia" w:ascii="仿宋" w:hAnsi="仿宋" w:eastAsia="仿宋"/>
          <w:b/>
          <w:sz w:val="24"/>
          <w:szCs w:val="24"/>
        </w:rPr>
        <w:t>）投标人及其法定代表人、总监理工程师</w:t>
      </w:r>
      <w:r>
        <w:rPr>
          <w:rFonts w:hint="eastAsia" w:ascii="仿宋" w:hAnsi="仿宋" w:eastAsia="仿宋"/>
          <w:b/>
          <w:kern w:val="10"/>
          <w:sz w:val="24"/>
          <w:szCs w:val="24"/>
        </w:rPr>
        <w:t>在参加投标活动前三年内，在经营活动中没有重大违法记录（提供书面声明）；没有不良行为记录（提供全国建筑市场监管公共服务平台查询记录截图和信用中国查询截图）；</w:t>
      </w:r>
    </w:p>
    <w:p>
      <w:pPr>
        <w:spacing w:after="0" w:line="360" w:lineRule="auto"/>
        <w:ind w:firstLine="480" w:firstLineChars="200"/>
        <w:rPr>
          <w:rFonts w:ascii="仿宋" w:hAnsi="仿宋" w:eastAsia="仿宋"/>
          <w:b/>
          <w:kern w:val="10"/>
          <w:sz w:val="24"/>
          <w:szCs w:val="24"/>
        </w:rPr>
      </w:pPr>
      <w:r>
        <w:rPr>
          <w:rFonts w:hint="eastAsia" w:ascii="仿宋" w:hAnsi="仿宋" w:eastAsia="仿宋"/>
          <w:sz w:val="24"/>
          <w:szCs w:val="24"/>
        </w:rPr>
        <w:t xml:space="preserve"> </w:t>
      </w:r>
      <w:r>
        <w:rPr>
          <w:rFonts w:hint="eastAsia" w:ascii="仿宋" w:hAnsi="仿宋" w:eastAsia="仿宋"/>
          <w:b/>
          <w:sz w:val="24"/>
          <w:szCs w:val="24"/>
        </w:rPr>
        <w:t>（</w:t>
      </w:r>
      <w:r>
        <w:rPr>
          <w:rFonts w:ascii="仿宋" w:hAnsi="仿宋" w:eastAsia="仿宋"/>
          <w:b/>
          <w:sz w:val="24"/>
          <w:szCs w:val="24"/>
        </w:rPr>
        <w:t>9</w:t>
      </w:r>
      <w:r>
        <w:rPr>
          <w:rFonts w:hint="eastAsia" w:ascii="仿宋" w:hAnsi="仿宋" w:eastAsia="仿宋"/>
          <w:b/>
          <w:sz w:val="24"/>
          <w:szCs w:val="24"/>
        </w:rPr>
        <w:t>）</w:t>
      </w:r>
      <w:r>
        <w:rPr>
          <w:rFonts w:hint="eastAsia" w:ascii="仿宋" w:hAnsi="仿宋" w:eastAsia="仿宋"/>
          <w:b/>
          <w:kern w:val="10"/>
          <w:sz w:val="24"/>
          <w:szCs w:val="24"/>
        </w:rPr>
        <w:t>根据《关于落实</w:t>
      </w:r>
      <w:r>
        <w:rPr>
          <w:rFonts w:ascii="仿宋" w:hAnsi="仿宋" w:eastAsia="仿宋"/>
          <w:b/>
          <w:kern w:val="10"/>
          <w:sz w:val="24"/>
          <w:szCs w:val="24"/>
        </w:rPr>
        <w:t>&lt;</w:t>
      </w:r>
      <w:r>
        <w:rPr>
          <w:rFonts w:hint="eastAsia" w:ascii="仿宋" w:hAnsi="仿宋" w:eastAsia="仿宋"/>
          <w:b/>
          <w:kern w:val="10"/>
          <w:sz w:val="24"/>
          <w:szCs w:val="24"/>
        </w:rPr>
        <w:t>恩施州建设领域劳动者工资支付保障实施方法</w:t>
      </w:r>
      <w:r>
        <w:rPr>
          <w:rFonts w:ascii="仿宋" w:hAnsi="仿宋" w:eastAsia="仿宋"/>
          <w:b/>
          <w:kern w:val="10"/>
          <w:sz w:val="24"/>
          <w:szCs w:val="24"/>
        </w:rPr>
        <w:t>&gt;</w:t>
      </w:r>
      <w:r>
        <w:rPr>
          <w:rFonts w:hint="eastAsia" w:ascii="仿宋" w:hAnsi="仿宋" w:eastAsia="仿宋"/>
          <w:b/>
          <w:kern w:val="10"/>
          <w:sz w:val="24"/>
          <w:szCs w:val="24"/>
        </w:rPr>
        <w:t>相关规定的意见》的补充通知（恩施州人社函</w:t>
      </w:r>
      <w:r>
        <w:rPr>
          <w:rFonts w:ascii="仿宋" w:hAnsi="仿宋" w:eastAsia="仿宋"/>
          <w:b/>
          <w:kern w:val="10"/>
          <w:sz w:val="24"/>
          <w:szCs w:val="24"/>
        </w:rPr>
        <w:t>[2017]35</w:t>
      </w:r>
      <w:r>
        <w:rPr>
          <w:rFonts w:hint="eastAsia" w:ascii="仿宋" w:hAnsi="仿宋" w:eastAsia="仿宋"/>
          <w:b/>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 xml:space="preserve">7.2本次谈判不接受联合体投标。 </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8、资格预审及报名方式</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8.1资格预审须携带以下资料</w:t>
      </w:r>
    </w:p>
    <w:p>
      <w:pPr>
        <w:spacing w:after="0" w:line="360" w:lineRule="auto"/>
        <w:ind w:firstLine="806" w:firstLineChars="336"/>
        <w:jc w:val="both"/>
        <w:rPr>
          <w:rFonts w:ascii="仿宋" w:hAnsi="仿宋" w:eastAsia="仿宋"/>
          <w:sz w:val="24"/>
          <w:szCs w:val="24"/>
        </w:rPr>
      </w:pPr>
      <w:r>
        <w:rPr>
          <w:rFonts w:hint="eastAsia" w:ascii="仿宋" w:hAnsi="仿宋" w:eastAsia="仿宋"/>
          <w:sz w:val="24"/>
          <w:szCs w:val="24"/>
        </w:rPr>
        <w:t>（1）满足第7.1条中规定的加盖企业公章鲜章的企业资质证书和营业执照复印件（开标时提供原件）；</w:t>
      </w:r>
    </w:p>
    <w:p>
      <w:pPr>
        <w:spacing w:after="0" w:line="360" w:lineRule="auto"/>
        <w:ind w:firstLine="806" w:firstLineChars="336"/>
        <w:jc w:val="both"/>
        <w:rPr>
          <w:rFonts w:ascii="仿宋" w:hAnsi="仿宋" w:eastAsia="仿宋"/>
          <w:sz w:val="24"/>
          <w:szCs w:val="24"/>
        </w:rPr>
      </w:pPr>
      <w:r>
        <w:rPr>
          <w:rFonts w:hint="eastAsia" w:ascii="仿宋" w:hAnsi="仿宋" w:eastAsia="仿宋"/>
          <w:sz w:val="24"/>
          <w:szCs w:val="24"/>
        </w:rPr>
        <w:t>（2）拟派总监理工程师国家注册监理工程师证书复印件（盖单位公章，开标时提供原件。总监理工程师必须是本单位注册人员）；</w:t>
      </w:r>
    </w:p>
    <w:p>
      <w:pPr>
        <w:spacing w:after="0" w:line="360" w:lineRule="auto"/>
        <w:ind w:firstLine="806" w:firstLineChars="336"/>
        <w:jc w:val="both"/>
        <w:rPr>
          <w:rFonts w:ascii="仿宋" w:hAnsi="仿宋" w:eastAsia="仿宋"/>
          <w:sz w:val="24"/>
          <w:szCs w:val="24"/>
        </w:rPr>
      </w:pPr>
      <w:r>
        <w:rPr>
          <w:rFonts w:hint="eastAsia" w:ascii="仿宋" w:hAnsi="仿宋" w:eastAsia="仿宋"/>
          <w:sz w:val="24"/>
          <w:szCs w:val="24"/>
        </w:rPr>
        <w:t>（3）法定代表人授权委托书。</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8.2报名方式</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意向投标人携带第</w:t>
      </w:r>
      <w:r>
        <w:rPr>
          <w:rFonts w:ascii="仿宋" w:hAnsi="仿宋" w:eastAsia="仿宋"/>
          <w:sz w:val="24"/>
          <w:szCs w:val="24"/>
        </w:rPr>
        <w:t>8</w:t>
      </w:r>
      <w:r>
        <w:rPr>
          <w:rFonts w:hint="eastAsia" w:ascii="仿宋" w:hAnsi="仿宋" w:eastAsia="仿宋"/>
          <w:sz w:val="24"/>
          <w:szCs w:val="24"/>
        </w:rPr>
        <w:t>.1条规定的资料到采购人指定的报名地点填写《报名登记表》登记报名并接受资格预审（未报名的投标无效）。</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9、报名截止时间</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报名截止时间：20</w:t>
      </w:r>
      <w:r>
        <w:rPr>
          <w:rFonts w:ascii="仿宋" w:hAnsi="仿宋" w:eastAsia="仿宋"/>
          <w:b/>
          <w:sz w:val="24"/>
          <w:szCs w:val="24"/>
        </w:rPr>
        <w:t>20</w:t>
      </w:r>
      <w:r>
        <w:rPr>
          <w:rFonts w:hint="eastAsia" w:ascii="仿宋" w:hAnsi="仿宋" w:eastAsia="仿宋"/>
          <w:b/>
          <w:sz w:val="24"/>
          <w:szCs w:val="24"/>
        </w:rPr>
        <w:t>年0</w:t>
      </w:r>
      <w:r>
        <w:rPr>
          <w:rFonts w:ascii="仿宋" w:hAnsi="仿宋" w:eastAsia="仿宋"/>
          <w:b/>
          <w:sz w:val="24"/>
          <w:szCs w:val="24"/>
        </w:rPr>
        <w:t>8</w:t>
      </w:r>
      <w:r>
        <w:rPr>
          <w:rFonts w:hint="eastAsia" w:ascii="仿宋" w:hAnsi="仿宋" w:eastAsia="仿宋"/>
          <w:b/>
          <w:sz w:val="24"/>
          <w:szCs w:val="24"/>
        </w:rPr>
        <w:t>月</w:t>
      </w:r>
      <w:r>
        <w:rPr>
          <w:rFonts w:ascii="仿宋" w:hAnsi="仿宋" w:eastAsia="仿宋"/>
          <w:b/>
          <w:sz w:val="24"/>
          <w:szCs w:val="24"/>
        </w:rPr>
        <w:t>9</w:t>
      </w:r>
      <w:r>
        <w:rPr>
          <w:rFonts w:hint="eastAsia" w:ascii="仿宋" w:hAnsi="仿宋" w:eastAsia="仿宋"/>
          <w:b/>
          <w:sz w:val="24"/>
          <w:szCs w:val="24"/>
        </w:rPr>
        <w:t>日17时</w:t>
      </w:r>
      <w:r>
        <w:rPr>
          <w:rFonts w:ascii="仿宋" w:hAnsi="仿宋" w:eastAsia="仿宋"/>
          <w:b/>
          <w:sz w:val="24"/>
          <w:szCs w:val="24"/>
        </w:rPr>
        <w:t>0</w:t>
      </w:r>
      <w:r>
        <w:rPr>
          <w:rFonts w:hint="eastAsia" w:ascii="仿宋" w:hAnsi="仿宋" w:eastAsia="仿宋"/>
          <w:b/>
          <w:sz w:val="24"/>
          <w:szCs w:val="24"/>
        </w:rPr>
        <w:t>0分（节假日不休）</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10、谈判文件获取方式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10.1谈判文件及设计文件获取方式：网上下载；</w:t>
      </w:r>
    </w:p>
    <w:p>
      <w:pPr>
        <w:spacing w:after="0" w:line="360" w:lineRule="auto"/>
        <w:ind w:left="560" w:leftChars="200" w:hanging="120" w:hangingChars="50"/>
        <w:jc w:val="both"/>
        <w:rPr>
          <w:rFonts w:ascii="仿宋" w:hAnsi="仿宋" w:eastAsia="仿宋"/>
          <w:sz w:val="24"/>
          <w:szCs w:val="24"/>
        </w:rPr>
      </w:pPr>
      <w:r>
        <w:rPr>
          <w:rFonts w:hint="eastAsia" w:ascii="仿宋" w:hAnsi="仿宋" w:eastAsia="仿宋"/>
          <w:sz w:val="24"/>
          <w:szCs w:val="24"/>
        </w:rPr>
        <w:t>10.2 施工图获取方式：投标人报名时提供电子邮箱，由发包人发于该邮箱。</w:t>
      </w:r>
    </w:p>
    <w:p>
      <w:pPr>
        <w:spacing w:after="0" w:line="360" w:lineRule="auto"/>
        <w:ind w:left="560" w:leftChars="200" w:hanging="120" w:hangingChars="50"/>
        <w:jc w:val="both"/>
        <w:rPr>
          <w:rFonts w:ascii="仿宋" w:hAnsi="仿宋" w:eastAsia="仿宋"/>
          <w:sz w:val="24"/>
          <w:szCs w:val="24"/>
        </w:rPr>
      </w:pPr>
      <w:r>
        <w:rPr>
          <w:rFonts w:hint="eastAsia" w:ascii="仿宋" w:hAnsi="仿宋" w:eastAsia="仿宋"/>
          <w:sz w:val="24"/>
          <w:szCs w:val="24"/>
        </w:rPr>
        <w:t xml:space="preserve">11、谈判截止时间、开标时间和地点：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谈判截止时间及开标时间：20</w:t>
      </w:r>
      <w:r>
        <w:rPr>
          <w:rFonts w:ascii="仿宋" w:hAnsi="仿宋" w:eastAsia="仿宋"/>
          <w:b/>
          <w:sz w:val="24"/>
          <w:szCs w:val="24"/>
        </w:rPr>
        <w:t>20</w:t>
      </w:r>
      <w:r>
        <w:rPr>
          <w:rFonts w:hint="eastAsia" w:ascii="仿宋" w:hAnsi="仿宋" w:eastAsia="仿宋"/>
          <w:b/>
          <w:sz w:val="24"/>
          <w:szCs w:val="24"/>
        </w:rPr>
        <w:t>年0</w:t>
      </w:r>
      <w:r>
        <w:rPr>
          <w:rFonts w:ascii="仿宋" w:hAnsi="仿宋" w:eastAsia="仿宋"/>
          <w:b/>
          <w:sz w:val="24"/>
          <w:szCs w:val="24"/>
        </w:rPr>
        <w:t>8</w:t>
      </w:r>
      <w:r>
        <w:rPr>
          <w:rFonts w:hint="eastAsia" w:ascii="仿宋" w:hAnsi="仿宋" w:eastAsia="仿宋"/>
          <w:b/>
          <w:sz w:val="24"/>
          <w:szCs w:val="24"/>
        </w:rPr>
        <w:t>月</w:t>
      </w:r>
      <w:r>
        <w:rPr>
          <w:rFonts w:ascii="仿宋" w:hAnsi="仿宋" w:eastAsia="仿宋"/>
          <w:b/>
          <w:sz w:val="24"/>
          <w:szCs w:val="24"/>
        </w:rPr>
        <w:t>14</w:t>
      </w:r>
      <w:r>
        <w:rPr>
          <w:rFonts w:hint="eastAsia" w:ascii="仿宋" w:hAnsi="仿宋" w:eastAsia="仿宋"/>
          <w:b/>
          <w:sz w:val="24"/>
          <w:szCs w:val="24"/>
        </w:rPr>
        <w:t>日上午</w:t>
      </w:r>
      <w:r>
        <w:rPr>
          <w:rFonts w:ascii="仿宋" w:hAnsi="仿宋" w:eastAsia="仿宋"/>
          <w:b/>
          <w:sz w:val="24"/>
          <w:szCs w:val="24"/>
        </w:rPr>
        <w:t>10</w:t>
      </w:r>
      <w:r>
        <w:rPr>
          <w:rFonts w:hint="eastAsia" w:ascii="仿宋" w:hAnsi="仿宋" w:eastAsia="仿宋"/>
          <w:b/>
          <w:sz w:val="24"/>
          <w:szCs w:val="24"/>
        </w:rPr>
        <w:t>时</w:t>
      </w:r>
      <w:r>
        <w:rPr>
          <w:rFonts w:ascii="仿宋" w:hAnsi="仿宋" w:eastAsia="仿宋"/>
          <w:b/>
          <w:sz w:val="24"/>
          <w:szCs w:val="24"/>
        </w:rPr>
        <w:t>0</w:t>
      </w:r>
      <w:r>
        <w:rPr>
          <w:rFonts w:hint="eastAsia" w:ascii="仿宋" w:hAnsi="仿宋" w:eastAsia="仿宋"/>
          <w:b/>
          <w:sz w:val="24"/>
          <w:szCs w:val="24"/>
        </w:rPr>
        <w:t>0分</w:t>
      </w:r>
      <w:r>
        <w:rPr>
          <w:rFonts w:hint="eastAsia" w:ascii="仿宋" w:hAnsi="仿宋" w:eastAsia="仿宋"/>
          <w:sz w:val="24"/>
          <w:szCs w:val="24"/>
        </w:rPr>
        <w:t>；</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投标报名地点、响应文件递交地点及开标地点：湖北省恩施市大峡谷风景区管理处马鞍龙游客中心维修保障部办公室。</w:t>
      </w:r>
    </w:p>
    <w:p>
      <w:pPr>
        <w:spacing w:line="220" w:lineRule="atLeast"/>
        <w:rPr>
          <w:rFonts w:ascii="仿宋" w:hAnsi="仿宋" w:eastAsia="仿宋"/>
          <w:sz w:val="24"/>
          <w:szCs w:val="24"/>
        </w:rPr>
      </w:pPr>
      <w:r>
        <w:rPr>
          <w:rFonts w:hint="eastAsia" w:ascii="仿宋" w:hAnsi="仿宋" w:eastAsia="仿宋"/>
          <w:sz w:val="24"/>
          <w:szCs w:val="24"/>
        </w:rPr>
        <w:t xml:space="preserve">     12、联系方式： </w:t>
      </w:r>
    </w:p>
    <w:p>
      <w:pPr>
        <w:spacing w:line="220" w:lineRule="atLeast"/>
        <w:rPr>
          <w:rFonts w:ascii="仿宋" w:hAnsi="仿宋" w:eastAsia="仿宋"/>
          <w:sz w:val="24"/>
          <w:szCs w:val="24"/>
        </w:rPr>
      </w:pPr>
      <w:r>
        <w:rPr>
          <w:rFonts w:hint="eastAsia" w:ascii="仿宋" w:hAnsi="仿宋" w:eastAsia="仿宋"/>
          <w:sz w:val="24"/>
          <w:szCs w:val="24"/>
        </w:rPr>
        <w:t xml:space="preserve">     采购人：恩施大峡谷旅游开发有限公司 </w:t>
      </w:r>
    </w:p>
    <w:p>
      <w:pPr>
        <w:spacing w:line="220" w:lineRule="atLeast"/>
        <w:rPr>
          <w:rFonts w:ascii="仿宋" w:hAnsi="仿宋" w:eastAsia="仿宋"/>
          <w:sz w:val="24"/>
          <w:szCs w:val="24"/>
        </w:rPr>
      </w:pPr>
      <w:r>
        <w:rPr>
          <w:rFonts w:hint="eastAsia" w:ascii="仿宋" w:hAnsi="仿宋" w:eastAsia="仿宋"/>
          <w:sz w:val="24"/>
          <w:szCs w:val="24"/>
        </w:rPr>
        <w:t xml:space="preserve">     联系人：李女士    联系电话：</w:t>
      </w:r>
      <w:r>
        <w:rPr>
          <w:rFonts w:ascii="仿宋" w:hAnsi="仿宋" w:eastAsia="仿宋"/>
          <w:sz w:val="24"/>
          <w:szCs w:val="24"/>
        </w:rPr>
        <w:t>13469746260</w:t>
      </w:r>
    </w:p>
    <w:p>
      <w:pPr>
        <w:spacing w:line="500" w:lineRule="exact"/>
        <w:jc w:val="center"/>
        <w:rPr>
          <w:rFonts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p>
    <w:p>
      <w:pPr>
        <w:spacing w:line="500" w:lineRule="exact"/>
        <w:rPr>
          <w:rFonts w:ascii="仿宋" w:hAnsi="仿宋" w:eastAsia="仿宋" w:cs="Times New Roman"/>
          <w:b/>
          <w:bCs/>
          <w:sz w:val="32"/>
          <w:szCs w:val="32"/>
        </w:rPr>
      </w:pPr>
    </w:p>
    <w:p>
      <w:pPr>
        <w:spacing w:line="500" w:lineRule="exact"/>
        <w:rPr>
          <w:rFonts w:ascii="仿宋" w:hAnsi="仿宋" w:eastAsia="仿宋" w:cs="Times New Roman"/>
          <w:b/>
          <w:bCs/>
          <w:sz w:val="32"/>
          <w:szCs w:val="32"/>
        </w:rPr>
      </w:pPr>
    </w:p>
    <w:p>
      <w:pPr>
        <w:spacing w:line="500" w:lineRule="exact"/>
        <w:rPr>
          <w:rFonts w:ascii="仿宋" w:hAnsi="仿宋" w:eastAsia="仿宋" w:cs="Times New Roman"/>
          <w:b/>
          <w:bCs/>
          <w:sz w:val="32"/>
          <w:szCs w:val="32"/>
        </w:rPr>
      </w:pPr>
    </w:p>
    <w:p>
      <w:pPr>
        <w:spacing w:line="500" w:lineRule="exact"/>
        <w:rPr>
          <w:rFonts w:ascii="仿宋" w:hAnsi="仿宋" w:eastAsia="仿宋" w:cs="Times New Roman"/>
          <w:b/>
          <w:bCs/>
          <w:sz w:val="32"/>
          <w:szCs w:val="32"/>
        </w:rPr>
      </w:pPr>
    </w:p>
    <w:p>
      <w:pPr>
        <w:spacing w:line="500" w:lineRule="exact"/>
        <w:rPr>
          <w:rFonts w:ascii="仿宋" w:hAnsi="仿宋" w:eastAsia="仿宋" w:cs="Times New Roman"/>
          <w:b/>
          <w:bCs/>
          <w:sz w:val="32"/>
          <w:szCs w:val="32"/>
        </w:rPr>
      </w:pPr>
    </w:p>
    <w:p>
      <w:pPr>
        <w:spacing w:line="500" w:lineRule="exact"/>
        <w:rPr>
          <w:rFonts w:ascii="仿宋" w:hAnsi="仿宋" w:eastAsia="仿宋" w:cs="Times New Roman"/>
          <w:b/>
          <w:bCs/>
          <w:sz w:val="32"/>
          <w:szCs w:val="32"/>
        </w:rPr>
      </w:pPr>
    </w:p>
    <w:p>
      <w:pPr>
        <w:spacing w:line="500" w:lineRule="exact"/>
        <w:rPr>
          <w:rFonts w:ascii="仿宋" w:hAnsi="仿宋" w:eastAsia="仿宋" w:cs="Times New Roman"/>
          <w:b/>
          <w:bCs/>
          <w:sz w:val="32"/>
          <w:szCs w:val="32"/>
        </w:rPr>
      </w:pPr>
    </w:p>
    <w:p>
      <w:pPr>
        <w:pStyle w:val="2"/>
        <w:jc w:val="center"/>
        <w:rPr>
          <w:rFonts w:ascii="宋体" w:hAnsi="宋体"/>
          <w:b w:val="0"/>
          <w:bCs w:val="0"/>
          <w:sz w:val="28"/>
          <w:szCs w:val="28"/>
        </w:rPr>
      </w:pPr>
      <w:bookmarkStart w:id="1" w:name="_Toc504125539"/>
      <w:r>
        <w:rPr>
          <w:rFonts w:hint="eastAsia" w:ascii="宋体" w:hAnsi="宋体"/>
          <w:sz w:val="28"/>
          <w:szCs w:val="28"/>
        </w:rPr>
        <w:t>第二章 投标人须知</w:t>
      </w:r>
      <w:bookmarkEnd w:id="1"/>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投标人须知前附表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Times New Roman"/>
                <w:sz w:val="24"/>
                <w:szCs w:val="24"/>
              </w:rPr>
              <w:t>恩施大峡谷地缝景区7.17特大暴雨灾后治理、恢复工程。</w:t>
            </w:r>
          </w:p>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建设地点：</w:t>
            </w:r>
            <w:r>
              <w:rPr>
                <w:rFonts w:hint="eastAsia" w:ascii="仿宋" w:hAnsi="仿宋" w:eastAsia="仿宋" w:cs="Times New Roman"/>
                <w:sz w:val="24"/>
                <w:szCs w:val="24"/>
              </w:rPr>
              <w:t>恩施市大峡谷景区内</w:t>
            </w:r>
          </w:p>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建设规模：</w:t>
            </w:r>
            <w:r>
              <w:rPr>
                <w:rFonts w:hint="eastAsia" w:ascii="仿宋" w:hAnsi="仿宋" w:eastAsia="仿宋" w:cs="Times New Roman"/>
                <w:sz w:val="24"/>
                <w:szCs w:val="24"/>
              </w:rPr>
              <w:t>详见设计文件</w:t>
            </w:r>
          </w:p>
          <w:p>
            <w:pPr>
              <w:spacing w:after="0" w:line="400" w:lineRule="exact"/>
              <w:jc w:val="both"/>
              <w:rPr>
                <w:rFonts w:ascii="仿宋" w:hAnsi="仿宋" w:eastAsia="仿宋" w:cs="Times New Roman"/>
                <w:color w:val="FF0000"/>
                <w:sz w:val="24"/>
                <w:szCs w:val="24"/>
              </w:rPr>
            </w:pPr>
            <w:r>
              <w:rPr>
                <w:rFonts w:hint="eastAsia" w:ascii="仿宋" w:hAnsi="仿宋" w:eastAsia="仿宋" w:cs="Times New Roman"/>
                <w:b/>
                <w:sz w:val="24"/>
                <w:szCs w:val="24"/>
              </w:rPr>
              <w:t>合同形式：</w:t>
            </w:r>
            <w:r>
              <w:rPr>
                <w:rFonts w:hint="eastAsia" w:ascii="仿宋" w:hAnsi="仿宋" w:eastAsia="仿宋" w:cs="Times New Roman"/>
                <w:sz w:val="24"/>
                <w:szCs w:val="24"/>
              </w:rPr>
              <w:t xml:space="preserve">固定总价合同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vAlign w:val="center"/>
          </w:tcPr>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恩施大峡谷旅游开发有限公司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vAlign w:val="center"/>
          </w:tcPr>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工程质量要求：</w:t>
            </w:r>
            <w:r>
              <w:rPr>
                <w:rFonts w:hint="eastAsia" w:ascii="仿宋" w:hAnsi="仿宋" w:eastAsia="仿宋" w:cs="Times New Roman"/>
                <w:sz w:val="24"/>
                <w:szCs w:val="24"/>
              </w:rPr>
              <w:t>按照国家相关验收规范要求，一次性验收合格。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工期要求：</w:t>
            </w:r>
            <w:r>
              <w:rPr>
                <w:rFonts w:hint="eastAsia" w:ascii="仿宋" w:hAnsi="仿宋" w:eastAsia="仿宋" w:cs="Times New Roman"/>
                <w:sz w:val="24"/>
                <w:szCs w:val="24"/>
              </w:rPr>
              <w:t>合同签订之日至9月3</w:t>
            </w:r>
            <w:r>
              <w:rPr>
                <w:rFonts w:ascii="仿宋" w:hAnsi="仿宋" w:eastAsia="仿宋" w:cs="Times New Roman"/>
                <w:sz w:val="24"/>
                <w:szCs w:val="24"/>
              </w:rPr>
              <w:t>0</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tcPr>
          <w:p>
            <w:pPr>
              <w:spacing w:after="0" w:line="400" w:lineRule="exact"/>
              <w:rPr>
                <w:rFonts w:ascii="仿宋" w:hAnsi="仿宋" w:eastAsia="仿宋" w:cs="Times New Roman"/>
                <w:sz w:val="24"/>
                <w:szCs w:val="24"/>
              </w:rPr>
            </w:pPr>
            <w:r>
              <w:rPr>
                <w:rFonts w:hint="eastAsia" w:ascii="仿宋" w:hAnsi="仿宋" w:eastAsia="仿宋" w:cs="Times New Roman"/>
                <w:b/>
                <w:sz w:val="24"/>
                <w:szCs w:val="24"/>
              </w:rPr>
              <w:t>投标人资格条件：</w:t>
            </w:r>
            <w:r>
              <w:rPr>
                <w:rFonts w:hint="eastAsia" w:ascii="仿宋" w:hAnsi="仿宋" w:eastAsia="仿宋" w:cs="Times New Roman"/>
                <w:sz w:val="24"/>
                <w:szCs w:val="24"/>
              </w:rPr>
              <w:t>详见谈判公告第7条。其中：“</w:t>
            </w:r>
            <w:r>
              <w:rPr>
                <w:rFonts w:hint="eastAsia" w:ascii="仿宋" w:hAnsi="仿宋" w:eastAsia="仿宋"/>
                <w:sz w:val="24"/>
                <w:szCs w:val="24"/>
              </w:rPr>
              <w:t>201</w:t>
            </w:r>
            <w:r>
              <w:rPr>
                <w:rFonts w:ascii="仿宋" w:hAnsi="仿宋" w:eastAsia="仿宋"/>
                <w:sz w:val="24"/>
                <w:szCs w:val="24"/>
              </w:rPr>
              <w:t>7</w:t>
            </w:r>
            <w:r>
              <w:rPr>
                <w:rFonts w:hint="eastAsia" w:ascii="仿宋" w:hAnsi="仿宋" w:eastAsia="仿宋"/>
                <w:sz w:val="24"/>
                <w:szCs w:val="24"/>
              </w:rPr>
              <w:t>年01月至今独立承担过类似工程监理项目</w:t>
            </w:r>
            <w:r>
              <w:rPr>
                <w:rFonts w:hint="eastAsia" w:ascii="仿宋" w:hAnsi="仿宋" w:eastAsia="仿宋" w:cs="Times New Roman"/>
                <w:sz w:val="24"/>
                <w:szCs w:val="24"/>
              </w:rPr>
              <w:t>”，要求在开标会上提供合同原件，并在响应文件“商务文件”“证明投标人合格的资格文件”中提供合同复印件，不符合上述要求的，将视为资格审查不合格。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400" w:lineRule="exact"/>
              <w:rPr>
                <w:rFonts w:ascii="仿宋" w:hAnsi="仿宋" w:eastAsia="仿宋" w:cs="Times New Roman"/>
                <w:b/>
                <w:sz w:val="24"/>
                <w:szCs w:val="24"/>
              </w:rPr>
            </w:pPr>
            <w:r>
              <w:rPr>
                <w:rFonts w:hint="eastAsia" w:ascii="仿宋" w:hAnsi="仿宋" w:eastAsia="仿宋" w:cs="Times New Roman"/>
                <w:b/>
                <w:sz w:val="24"/>
                <w:szCs w:val="24"/>
              </w:rPr>
              <w:t>投标报价及费用：</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（1）本项目投标以人民币报价。</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（2）不论投标结果如何，投标人均应自行承担所有与投标有关的全部费用。</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（3）投标人应充分考虑项目实际情况。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b/>
                <w:color w:val="FF0000"/>
                <w:sz w:val="24"/>
                <w:szCs w:val="24"/>
              </w:rPr>
            </w:pPr>
            <w:r>
              <w:rPr>
                <w:rFonts w:hint="eastAsia" w:ascii="仿宋" w:hAnsi="仿宋" w:eastAsia="仿宋"/>
                <w:b/>
                <w:sz w:val="24"/>
                <w:szCs w:val="24"/>
              </w:rPr>
              <w:t>柒万伍仟元整（￥</w:t>
            </w:r>
            <w:r>
              <w:rPr>
                <w:rFonts w:ascii="仿宋" w:hAnsi="仿宋" w:eastAsia="仿宋"/>
                <w:b/>
                <w:sz w:val="24"/>
                <w:szCs w:val="24"/>
              </w:rPr>
              <w:t>75000</w:t>
            </w:r>
            <w:r>
              <w:rPr>
                <w:rFonts w:hint="eastAsia" w:ascii="仿宋" w:hAnsi="仿宋" w:eastAsia="仿宋"/>
                <w:b/>
                <w:sz w:val="24"/>
                <w:szCs w:val="24"/>
              </w:rPr>
              <w:t>.00元）（最高限价）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现场联系人：</w:t>
            </w:r>
            <w:r>
              <w:rPr>
                <w:rFonts w:hint="eastAsia" w:ascii="仿宋" w:hAnsi="仿宋" w:eastAsia="仿宋" w:cs="Times New Roman"/>
                <w:sz w:val="24"/>
                <w:szCs w:val="24"/>
              </w:rPr>
              <w:t xml:space="preserve">苏经理   </w:t>
            </w:r>
            <w:r>
              <w:rPr>
                <w:rFonts w:ascii="仿宋" w:hAnsi="仿宋" w:eastAsia="仿宋" w:cs="Times New Roman"/>
                <w:sz w:val="24"/>
                <w:szCs w:val="24"/>
              </w:rPr>
              <w:t>15671533767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投标人提出疑问的截止时间：20</w:t>
            </w:r>
            <w:r>
              <w:rPr>
                <w:rFonts w:ascii="仿宋" w:hAnsi="仿宋" w:eastAsia="仿宋" w:cs="Times New Roman"/>
                <w:b/>
                <w:sz w:val="24"/>
                <w:szCs w:val="24"/>
              </w:rPr>
              <w:t>20</w:t>
            </w:r>
            <w:r>
              <w:rPr>
                <w:rFonts w:hint="eastAsia" w:ascii="仿宋" w:hAnsi="仿宋" w:eastAsia="仿宋" w:cs="Times New Roman"/>
                <w:b/>
                <w:sz w:val="24"/>
                <w:szCs w:val="24"/>
              </w:rPr>
              <w:t>年</w:t>
            </w:r>
            <w:r>
              <w:rPr>
                <w:rFonts w:ascii="仿宋" w:hAnsi="仿宋" w:eastAsia="仿宋" w:cs="Times New Roman"/>
                <w:b/>
                <w:sz w:val="24"/>
                <w:szCs w:val="24"/>
              </w:rPr>
              <w:t>8</w:t>
            </w:r>
            <w:r>
              <w:rPr>
                <w:rFonts w:hint="eastAsia" w:ascii="仿宋" w:hAnsi="仿宋" w:eastAsia="仿宋" w:cs="Times New Roman"/>
                <w:b/>
                <w:sz w:val="24"/>
                <w:szCs w:val="24"/>
              </w:rPr>
              <w:t>月</w:t>
            </w:r>
            <w:r>
              <w:rPr>
                <w:rFonts w:ascii="仿宋" w:hAnsi="仿宋" w:eastAsia="仿宋" w:cs="Times New Roman"/>
                <w:b/>
                <w:sz w:val="24"/>
                <w:szCs w:val="24"/>
              </w:rPr>
              <w:t>10</w:t>
            </w:r>
            <w:r>
              <w:rPr>
                <w:rFonts w:hint="eastAsia" w:ascii="仿宋" w:hAnsi="仿宋" w:eastAsia="仿宋" w:cs="Times New Roman"/>
                <w:b/>
                <w:sz w:val="24"/>
                <w:szCs w:val="24"/>
              </w:rPr>
              <w:t>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谈判文件的补充、修改、澄清的截止时间：20</w:t>
            </w:r>
            <w:r>
              <w:rPr>
                <w:rFonts w:ascii="仿宋" w:hAnsi="仿宋" w:eastAsia="仿宋" w:cs="Times New Roman"/>
                <w:b/>
                <w:sz w:val="24"/>
                <w:szCs w:val="24"/>
              </w:rPr>
              <w:t>20</w:t>
            </w:r>
            <w:r>
              <w:rPr>
                <w:rFonts w:hint="eastAsia" w:ascii="仿宋" w:hAnsi="仿宋" w:eastAsia="仿宋" w:cs="Times New Roman"/>
                <w:b/>
                <w:sz w:val="24"/>
                <w:szCs w:val="24"/>
              </w:rPr>
              <w:t>年</w:t>
            </w:r>
            <w:r>
              <w:rPr>
                <w:rFonts w:ascii="仿宋" w:hAnsi="仿宋" w:eastAsia="仿宋" w:cs="Times New Roman"/>
                <w:b/>
                <w:sz w:val="24"/>
                <w:szCs w:val="24"/>
              </w:rPr>
              <w:t>8</w:t>
            </w:r>
            <w:r>
              <w:rPr>
                <w:rFonts w:hint="eastAsia" w:ascii="仿宋" w:hAnsi="仿宋" w:eastAsia="仿宋" w:cs="Times New Roman"/>
                <w:b/>
                <w:sz w:val="24"/>
                <w:szCs w:val="24"/>
              </w:rPr>
              <w:t>月</w:t>
            </w:r>
            <w:r>
              <w:rPr>
                <w:rFonts w:ascii="仿宋" w:hAnsi="仿宋" w:eastAsia="仿宋" w:cs="Times New Roman"/>
                <w:b/>
                <w:sz w:val="24"/>
                <w:szCs w:val="24"/>
              </w:rPr>
              <w:t>1</w:t>
            </w:r>
            <w:r>
              <w:rPr>
                <w:rFonts w:hint="eastAsia" w:ascii="仿宋" w:hAnsi="仿宋" w:eastAsia="仿宋" w:cs="Times New Roman"/>
                <w:b/>
                <w:sz w:val="24"/>
                <w:szCs w:val="24"/>
              </w:rPr>
              <w:t>1日17时</w:t>
            </w:r>
            <w:r>
              <w:rPr>
                <w:rFonts w:ascii="仿宋" w:hAnsi="仿宋" w:eastAsia="仿宋" w:cs="Times New Roman"/>
                <w:b/>
                <w:sz w:val="24"/>
                <w:szCs w:val="24"/>
              </w:rPr>
              <w:t>0</w:t>
            </w:r>
            <w:r>
              <w:rPr>
                <w:rFonts w:hint="eastAsia" w:ascii="仿宋" w:hAnsi="仿宋" w:eastAsia="仿宋" w:cs="Times New Roman"/>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响应文件由商务文件、技术文件和报价文件组成（装订成一册）。响应文件一式叁份（正本壹份，副本贰份）。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投标有效期：投标截止日起60日。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投标截止时间：详见谈判公告。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响应文件递交地点：详见谈判公告。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响应文件递交截止时间及开标时间：20</w:t>
            </w:r>
            <w:r>
              <w:rPr>
                <w:rFonts w:ascii="仿宋" w:hAnsi="仿宋" w:eastAsia="仿宋" w:cs="Times New Roman"/>
                <w:b/>
                <w:sz w:val="24"/>
                <w:szCs w:val="24"/>
              </w:rPr>
              <w:t>20</w:t>
            </w:r>
            <w:r>
              <w:rPr>
                <w:rFonts w:hint="eastAsia" w:ascii="仿宋" w:hAnsi="仿宋" w:eastAsia="仿宋" w:cs="Times New Roman"/>
                <w:b/>
                <w:sz w:val="24"/>
                <w:szCs w:val="24"/>
              </w:rPr>
              <w:t>年</w:t>
            </w:r>
            <w:r>
              <w:rPr>
                <w:rFonts w:ascii="仿宋" w:hAnsi="仿宋" w:eastAsia="仿宋" w:cs="Times New Roman"/>
                <w:b/>
                <w:sz w:val="24"/>
                <w:szCs w:val="24"/>
              </w:rPr>
              <w:t>8</w:t>
            </w:r>
            <w:r>
              <w:rPr>
                <w:rFonts w:hint="eastAsia" w:ascii="仿宋" w:hAnsi="仿宋" w:eastAsia="仿宋" w:cs="Times New Roman"/>
                <w:b/>
                <w:sz w:val="24"/>
                <w:szCs w:val="24"/>
              </w:rPr>
              <w:t>月</w:t>
            </w:r>
            <w:r>
              <w:rPr>
                <w:rFonts w:ascii="仿宋" w:hAnsi="仿宋" w:eastAsia="仿宋" w:cs="Times New Roman"/>
                <w:b/>
                <w:sz w:val="24"/>
                <w:szCs w:val="24"/>
              </w:rPr>
              <w:t>14</w:t>
            </w:r>
            <w:r>
              <w:rPr>
                <w:rFonts w:hint="eastAsia" w:ascii="仿宋" w:hAnsi="仿宋" w:eastAsia="仿宋" w:cs="Times New Roman"/>
                <w:b/>
                <w:sz w:val="24"/>
                <w:szCs w:val="24"/>
              </w:rPr>
              <w:t>日</w:t>
            </w:r>
            <w:r>
              <w:rPr>
                <w:rFonts w:ascii="仿宋" w:hAnsi="仿宋" w:eastAsia="仿宋" w:cs="Times New Roman"/>
                <w:b/>
                <w:sz w:val="24"/>
                <w:szCs w:val="24"/>
              </w:rPr>
              <w:t>10</w:t>
            </w:r>
            <w:r>
              <w:rPr>
                <w:rFonts w:hint="eastAsia" w:ascii="仿宋" w:hAnsi="仿宋" w:eastAsia="仿宋" w:cs="Times New Roman"/>
                <w:b/>
                <w:sz w:val="24"/>
                <w:szCs w:val="24"/>
              </w:rPr>
              <w:t>时</w:t>
            </w:r>
            <w:r>
              <w:rPr>
                <w:rFonts w:ascii="仿宋" w:hAnsi="仿宋" w:eastAsia="仿宋" w:cs="Times New Roman"/>
                <w:b/>
                <w:sz w:val="24"/>
                <w:szCs w:val="24"/>
              </w:rPr>
              <w:t>0</w:t>
            </w:r>
            <w:r>
              <w:rPr>
                <w:rFonts w:hint="eastAsia" w:ascii="仿宋" w:hAnsi="仿宋" w:eastAsia="仿宋" w:cs="Times New Roman"/>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开标时间：详见谈判公告。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after="0" w:line="360" w:lineRule="auto"/>
              <w:rPr>
                <w:rFonts w:ascii="仿宋" w:hAnsi="仿宋" w:eastAsia="仿宋"/>
                <w:kern w:val="10"/>
                <w:sz w:val="24"/>
                <w:szCs w:val="24"/>
              </w:rPr>
            </w:pPr>
            <w:r>
              <w:rPr>
                <w:rFonts w:hint="eastAsia" w:ascii="仿宋" w:hAnsi="仿宋" w:eastAsia="仿宋"/>
                <w:kern w:val="10"/>
                <w:sz w:val="24"/>
                <w:szCs w:val="24"/>
              </w:rPr>
              <w:t>原件携带要求：</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w:t>
            </w:r>
            <w:r>
              <w:rPr>
                <w:rFonts w:ascii="仿宋" w:hAnsi="仿宋" w:eastAsia="仿宋"/>
                <w:kern w:val="10"/>
                <w:sz w:val="24"/>
                <w:szCs w:val="24"/>
              </w:rPr>
              <w:t>1.</w:t>
            </w:r>
            <w:r>
              <w:rPr>
                <w:rFonts w:hint="eastAsia" w:ascii="仿宋" w:hAnsi="仿宋" w:eastAsia="仿宋"/>
                <w:kern w:val="10"/>
                <w:sz w:val="24"/>
                <w:szCs w:val="24"/>
              </w:rPr>
              <w:t>投标人应在开标会现场提交下列资格证明材料：</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w:t>
            </w:r>
            <w:r>
              <w:rPr>
                <w:rFonts w:ascii="仿宋" w:hAnsi="仿宋" w:eastAsia="仿宋"/>
                <w:kern w:val="10"/>
                <w:sz w:val="24"/>
                <w:szCs w:val="24"/>
              </w:rPr>
              <w:t>1.1</w:t>
            </w:r>
            <w:r>
              <w:rPr>
                <w:rFonts w:hint="eastAsia" w:ascii="仿宋" w:hAnsi="仿宋" w:eastAsia="仿宋"/>
                <w:kern w:val="10"/>
                <w:sz w:val="24"/>
                <w:szCs w:val="24"/>
              </w:rPr>
              <w:t>有效的企业法人营业执照副本原件；</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w:t>
            </w:r>
            <w:r>
              <w:rPr>
                <w:rFonts w:ascii="仿宋" w:hAnsi="仿宋" w:eastAsia="仿宋"/>
                <w:kern w:val="10"/>
                <w:sz w:val="24"/>
                <w:szCs w:val="24"/>
              </w:rPr>
              <w:t>1.2</w:t>
            </w:r>
            <w:r>
              <w:rPr>
                <w:rFonts w:hint="eastAsia" w:ascii="仿宋" w:hAnsi="仿宋" w:eastAsia="仿宋"/>
                <w:kern w:val="10"/>
                <w:sz w:val="24"/>
                <w:szCs w:val="24"/>
              </w:rPr>
              <w:t>具有建设行政主管部门核发的房屋建筑工程或市政公用工程乙级及以上施工监理资质原件；</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w:t>
            </w:r>
            <w:r>
              <w:rPr>
                <w:rFonts w:ascii="仿宋" w:hAnsi="仿宋" w:eastAsia="仿宋"/>
                <w:kern w:val="10"/>
                <w:sz w:val="24"/>
                <w:szCs w:val="24"/>
              </w:rPr>
              <w:t xml:space="preserve">1.3 </w:t>
            </w:r>
            <w:r>
              <w:rPr>
                <w:rFonts w:hint="eastAsia" w:ascii="仿宋" w:hAnsi="仿宋" w:eastAsia="仿宋"/>
                <w:kern w:val="10"/>
                <w:sz w:val="24"/>
                <w:szCs w:val="24"/>
              </w:rPr>
              <w:t>投标人资格条件中要求的类似业绩：201</w:t>
            </w:r>
            <w:r>
              <w:rPr>
                <w:rFonts w:ascii="仿宋" w:hAnsi="仿宋" w:eastAsia="仿宋"/>
                <w:kern w:val="10"/>
                <w:sz w:val="24"/>
                <w:szCs w:val="24"/>
              </w:rPr>
              <w:t>7</w:t>
            </w:r>
            <w:r>
              <w:rPr>
                <w:rFonts w:hint="eastAsia" w:ascii="仿宋" w:hAnsi="仿宋" w:eastAsia="仿宋"/>
                <w:kern w:val="10"/>
                <w:sz w:val="24"/>
                <w:szCs w:val="24"/>
              </w:rPr>
              <w:t>年1月至今独立承担过房屋建筑或市政公用工程监理项目的合同书原件；</w:t>
            </w:r>
          </w:p>
          <w:p>
            <w:pPr>
              <w:spacing w:after="0" w:line="360" w:lineRule="auto"/>
              <w:ind w:firstLine="468"/>
              <w:rPr>
                <w:rFonts w:ascii="仿宋" w:hAnsi="仿宋" w:eastAsia="仿宋"/>
                <w:kern w:val="10"/>
                <w:sz w:val="24"/>
                <w:szCs w:val="24"/>
              </w:rPr>
            </w:pPr>
            <w:r>
              <w:rPr>
                <w:rFonts w:ascii="仿宋" w:hAnsi="仿宋" w:eastAsia="仿宋"/>
                <w:kern w:val="10"/>
                <w:sz w:val="24"/>
                <w:szCs w:val="24"/>
              </w:rPr>
              <w:t>1.4</w:t>
            </w:r>
            <w:r>
              <w:rPr>
                <w:rFonts w:hint="eastAsia" w:ascii="仿宋" w:hAnsi="仿宋" w:eastAsia="仿宋"/>
                <w:kern w:val="10"/>
                <w:sz w:val="24"/>
                <w:szCs w:val="24"/>
              </w:rPr>
              <w:t>总监理工程师国家注册监理工程师证书原件；</w:t>
            </w:r>
          </w:p>
          <w:p>
            <w:pPr>
              <w:spacing w:after="0" w:line="360" w:lineRule="auto"/>
              <w:ind w:firstLine="468"/>
              <w:rPr>
                <w:rFonts w:ascii="仿宋" w:hAnsi="仿宋" w:eastAsia="仿宋"/>
                <w:kern w:val="10"/>
                <w:sz w:val="24"/>
                <w:szCs w:val="24"/>
              </w:rPr>
            </w:pPr>
            <w:r>
              <w:rPr>
                <w:rFonts w:hint="eastAsia" w:ascii="仿宋" w:hAnsi="仿宋" w:eastAsia="仿宋"/>
                <w:kern w:val="10"/>
                <w:sz w:val="24"/>
                <w:szCs w:val="24"/>
              </w:rPr>
              <w:t>1.5近三年财务审计报告（201</w:t>
            </w:r>
            <w:r>
              <w:rPr>
                <w:rFonts w:ascii="仿宋" w:hAnsi="仿宋" w:eastAsia="仿宋"/>
                <w:kern w:val="10"/>
                <w:sz w:val="24"/>
                <w:szCs w:val="24"/>
              </w:rPr>
              <w:t>7</w:t>
            </w:r>
            <w:r>
              <w:rPr>
                <w:rFonts w:hint="eastAsia" w:ascii="仿宋" w:hAnsi="仿宋" w:eastAsia="仿宋"/>
                <w:kern w:val="10"/>
                <w:sz w:val="24"/>
                <w:szCs w:val="24"/>
              </w:rPr>
              <w:t>、201</w:t>
            </w:r>
            <w:r>
              <w:rPr>
                <w:rFonts w:ascii="仿宋" w:hAnsi="仿宋" w:eastAsia="仿宋"/>
                <w:kern w:val="10"/>
                <w:sz w:val="24"/>
                <w:szCs w:val="24"/>
              </w:rPr>
              <w:t>8</w:t>
            </w:r>
            <w:r>
              <w:rPr>
                <w:rFonts w:hint="eastAsia" w:ascii="仿宋" w:hAnsi="仿宋" w:eastAsia="仿宋"/>
                <w:kern w:val="10"/>
                <w:sz w:val="24"/>
                <w:szCs w:val="24"/>
              </w:rPr>
              <w:t>、201</w:t>
            </w:r>
            <w:r>
              <w:rPr>
                <w:rFonts w:ascii="仿宋" w:hAnsi="仿宋" w:eastAsia="仿宋"/>
                <w:kern w:val="10"/>
                <w:sz w:val="24"/>
                <w:szCs w:val="24"/>
              </w:rPr>
              <w:t>9</w:t>
            </w:r>
            <w:r>
              <w:rPr>
                <w:rFonts w:hint="eastAsia" w:ascii="仿宋" w:hAnsi="仿宋" w:eastAsia="仿宋"/>
                <w:kern w:val="10"/>
                <w:sz w:val="24"/>
                <w:szCs w:val="24"/>
              </w:rPr>
              <w:t>年）；</w:t>
            </w:r>
          </w:p>
          <w:p>
            <w:pPr>
              <w:spacing w:after="0" w:line="360" w:lineRule="auto"/>
              <w:ind w:firstLine="468"/>
              <w:rPr>
                <w:rFonts w:ascii="仿宋" w:hAnsi="仿宋" w:eastAsia="仿宋"/>
                <w:kern w:val="10"/>
                <w:sz w:val="24"/>
                <w:szCs w:val="24"/>
              </w:rPr>
            </w:pPr>
            <w:r>
              <w:rPr>
                <w:rFonts w:hint="eastAsia" w:ascii="仿宋" w:hAnsi="仿宋" w:eastAsia="仿宋"/>
                <w:kern w:val="10"/>
                <w:sz w:val="24"/>
                <w:szCs w:val="24"/>
              </w:rPr>
              <w:t>1.</w:t>
            </w:r>
            <w:r>
              <w:rPr>
                <w:rFonts w:ascii="仿宋" w:hAnsi="仿宋" w:eastAsia="仿宋"/>
                <w:kern w:val="10"/>
                <w:sz w:val="24"/>
                <w:szCs w:val="24"/>
              </w:rPr>
              <w:t>6</w:t>
            </w:r>
            <w:r>
              <w:rPr>
                <w:rFonts w:hint="eastAsia" w:ascii="仿宋" w:hAnsi="仿宋" w:eastAsia="仿宋"/>
                <w:kern w:val="10"/>
                <w:sz w:val="24"/>
                <w:szCs w:val="24"/>
              </w:rPr>
              <w:t>拟派的项目管理人员近三个月缴纳的社保证明（社保局盖公章）</w:t>
            </w:r>
          </w:p>
          <w:p>
            <w:pPr>
              <w:spacing w:after="0" w:line="360" w:lineRule="auto"/>
              <w:ind w:firstLine="468"/>
              <w:rPr>
                <w:rFonts w:ascii="仿宋" w:hAnsi="仿宋" w:eastAsia="仿宋"/>
                <w:kern w:val="10"/>
                <w:sz w:val="24"/>
                <w:szCs w:val="24"/>
              </w:rPr>
            </w:pPr>
            <w:r>
              <w:rPr>
                <w:rFonts w:hint="eastAsia" w:ascii="仿宋" w:hAnsi="仿宋" w:eastAsia="仿宋"/>
                <w:kern w:val="10"/>
                <w:sz w:val="24"/>
                <w:szCs w:val="24"/>
              </w:rPr>
              <w:t>1.</w:t>
            </w:r>
            <w:r>
              <w:rPr>
                <w:rFonts w:ascii="仿宋" w:hAnsi="仿宋" w:eastAsia="仿宋"/>
                <w:kern w:val="10"/>
                <w:sz w:val="24"/>
                <w:szCs w:val="24"/>
              </w:rPr>
              <w:t>7</w:t>
            </w:r>
            <w:r>
              <w:rPr>
                <w:rFonts w:hint="eastAsia" w:ascii="仿宋" w:hAnsi="仿宋" w:eastAsia="仿宋"/>
                <w:kern w:val="10"/>
                <w:sz w:val="24"/>
                <w:szCs w:val="24"/>
              </w:rPr>
              <w:t>投标人及拟派总监理工程师在参加投标活动前三年内，在经营活动中没有重大违法记录（提供书面声明）；没有不良行为记录（提供全国建筑市场监管公共服务平台查询记录截图和信用中国查询截图）；</w:t>
            </w:r>
          </w:p>
          <w:p>
            <w:pPr>
              <w:spacing w:after="0" w:line="360" w:lineRule="auto"/>
              <w:ind w:firstLine="468"/>
              <w:rPr>
                <w:rFonts w:ascii="仿宋" w:hAnsi="仿宋" w:eastAsia="仿宋"/>
                <w:kern w:val="10"/>
                <w:sz w:val="24"/>
                <w:szCs w:val="24"/>
              </w:rPr>
            </w:pPr>
            <w:r>
              <w:rPr>
                <w:rFonts w:hint="eastAsia" w:ascii="仿宋" w:hAnsi="仿宋" w:eastAsia="仿宋"/>
                <w:kern w:val="10"/>
                <w:sz w:val="24"/>
                <w:szCs w:val="24"/>
              </w:rPr>
              <w:t>1</w:t>
            </w:r>
            <w:r>
              <w:rPr>
                <w:rFonts w:ascii="仿宋" w:hAnsi="仿宋" w:eastAsia="仿宋"/>
                <w:kern w:val="10"/>
                <w:sz w:val="24"/>
                <w:szCs w:val="24"/>
              </w:rPr>
              <w:t>.8</w:t>
            </w:r>
            <w:r>
              <w:rPr>
                <w:rFonts w:hint="eastAsia" w:ascii="仿宋" w:hAnsi="仿宋" w:eastAsia="仿宋"/>
                <w:kern w:val="10"/>
                <w:sz w:val="24"/>
                <w:szCs w:val="24"/>
              </w:rPr>
              <w:t>投标人现场监理须实行每日上班打卡，自备打卡机并设在招标人办公室，每月不得少于2</w:t>
            </w:r>
            <w:r>
              <w:rPr>
                <w:rFonts w:ascii="仿宋" w:hAnsi="仿宋" w:eastAsia="仿宋"/>
                <w:kern w:val="10"/>
                <w:sz w:val="24"/>
                <w:szCs w:val="24"/>
              </w:rPr>
              <w:t>2</w:t>
            </w:r>
            <w:r>
              <w:rPr>
                <w:rFonts w:hint="eastAsia" w:ascii="仿宋" w:hAnsi="仿宋" w:eastAsia="仿宋"/>
                <w:kern w:val="10"/>
                <w:sz w:val="24"/>
                <w:szCs w:val="24"/>
              </w:rPr>
              <w:t>日，总监理工程师每周不得少于3次打卡，打卡记录不全按照2</w:t>
            </w:r>
            <w:r>
              <w:rPr>
                <w:rFonts w:ascii="仿宋" w:hAnsi="仿宋" w:eastAsia="仿宋"/>
                <w:kern w:val="10"/>
                <w:sz w:val="24"/>
                <w:szCs w:val="24"/>
              </w:rPr>
              <w:t>000</w:t>
            </w:r>
            <w:r>
              <w:rPr>
                <w:rFonts w:hint="eastAsia" w:ascii="仿宋" w:hAnsi="仿宋" w:eastAsia="仿宋"/>
                <w:kern w:val="10"/>
                <w:sz w:val="24"/>
                <w:szCs w:val="24"/>
              </w:rPr>
              <w:t>元/次的罚款，并提供承诺书加盖公章。</w:t>
            </w:r>
          </w:p>
          <w:p>
            <w:pPr>
              <w:spacing w:after="0" w:line="360" w:lineRule="auto"/>
              <w:ind w:firstLine="468"/>
              <w:rPr>
                <w:rFonts w:ascii="仿宋" w:hAnsi="仿宋" w:eastAsia="仿宋"/>
                <w:kern w:val="10"/>
                <w:sz w:val="24"/>
                <w:szCs w:val="24"/>
              </w:rPr>
            </w:pPr>
            <w:r>
              <w:rPr>
                <w:rFonts w:hint="eastAsia" w:ascii="仿宋" w:hAnsi="仿宋" w:eastAsia="仿宋"/>
                <w:kern w:val="10"/>
                <w:sz w:val="24"/>
                <w:szCs w:val="24"/>
              </w:rPr>
              <w:t>1.9不拖员工工资承诺书；</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w:t>
            </w:r>
            <w:r>
              <w:rPr>
                <w:rFonts w:ascii="仿宋" w:hAnsi="仿宋" w:eastAsia="仿宋"/>
                <w:kern w:val="10"/>
                <w:sz w:val="24"/>
                <w:szCs w:val="24"/>
              </w:rPr>
              <w:t>1.</w:t>
            </w:r>
            <w:r>
              <w:rPr>
                <w:rFonts w:hint="eastAsia" w:ascii="仿宋" w:hAnsi="仿宋" w:eastAsia="仿宋"/>
                <w:kern w:val="10"/>
                <w:sz w:val="24"/>
                <w:szCs w:val="24"/>
              </w:rPr>
              <w:t>10法定代表人授权委托书（法定代表人授权他人参加开标会的情形须提供）、法定代表人或其委托代理人的身份证件，均为原件；</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w:t>
            </w:r>
            <w:r>
              <w:rPr>
                <w:rFonts w:ascii="仿宋" w:hAnsi="仿宋" w:eastAsia="仿宋"/>
                <w:kern w:val="10"/>
                <w:sz w:val="24"/>
                <w:szCs w:val="24"/>
              </w:rPr>
              <w:t>1</w:t>
            </w:r>
            <w:r>
              <w:rPr>
                <w:rFonts w:hint="eastAsia" w:ascii="仿宋" w:hAnsi="仿宋" w:eastAsia="仿宋"/>
                <w:kern w:val="10"/>
                <w:sz w:val="24"/>
                <w:szCs w:val="24"/>
              </w:rPr>
              <w:t>）公证机关的公证书原件（应当提供证件的主要信息）；</w:t>
            </w:r>
          </w:p>
          <w:p>
            <w:pPr>
              <w:spacing w:after="0" w:line="360" w:lineRule="auto"/>
              <w:rPr>
                <w:rFonts w:ascii="仿宋" w:hAnsi="仿宋" w:eastAsia="仿宋"/>
                <w:kern w:val="10"/>
                <w:sz w:val="24"/>
                <w:szCs w:val="24"/>
              </w:rPr>
            </w:pPr>
            <w:r>
              <w:rPr>
                <w:rFonts w:hint="eastAsia" w:ascii="仿宋" w:hAnsi="仿宋" w:eastAsia="仿宋"/>
                <w:kern w:val="10"/>
                <w:sz w:val="24"/>
                <w:szCs w:val="24"/>
              </w:rPr>
              <w:t xml:space="preserve">   （2）证件原件办理年审、换证、遗失或其他客观情形不能携带至现场的，提供发证机关的证明材料原件，证明材料中应当注明证件的主要信息。</w:t>
            </w:r>
          </w:p>
          <w:p>
            <w:pPr>
              <w:spacing w:after="0" w:line="360" w:lineRule="auto"/>
              <w:ind w:firstLine="480" w:firstLineChars="200"/>
              <w:rPr>
                <w:rFonts w:ascii="仿宋" w:hAnsi="仿宋" w:eastAsia="仿宋"/>
                <w:kern w:val="10"/>
                <w:sz w:val="24"/>
                <w:szCs w:val="24"/>
              </w:rPr>
            </w:pPr>
            <w:r>
              <w:rPr>
                <w:rFonts w:ascii="仿宋" w:hAnsi="仿宋" w:eastAsia="仿宋"/>
                <w:kern w:val="10"/>
                <w:sz w:val="24"/>
                <w:szCs w:val="24"/>
              </w:rPr>
              <w:t xml:space="preserve">2. </w:t>
            </w:r>
            <w:r>
              <w:rPr>
                <w:rFonts w:hint="eastAsia" w:ascii="仿宋" w:hAnsi="仿宋" w:eastAsia="仿宋"/>
                <w:kern w:val="10"/>
                <w:sz w:val="24"/>
                <w:szCs w:val="24"/>
              </w:rPr>
              <w:t>上述第</w:t>
            </w:r>
            <w:r>
              <w:rPr>
                <w:rFonts w:ascii="仿宋" w:hAnsi="仿宋" w:eastAsia="仿宋"/>
                <w:kern w:val="10"/>
                <w:sz w:val="24"/>
                <w:szCs w:val="24"/>
              </w:rPr>
              <w:t>1</w:t>
            </w:r>
            <w:r>
              <w:rPr>
                <w:rFonts w:hint="eastAsia" w:ascii="仿宋" w:hAnsi="仿宋" w:eastAsia="仿宋"/>
                <w:kern w:val="10"/>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评标办法：综合评分法</w:t>
            </w:r>
          </w:p>
        </w:tc>
      </w:tr>
    </w:tbl>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本谈判文件仅适用于本次采购项目的招标、投标、评标、定标、验收、合同履约、付款等行为（法律、法规另有规定的，从其规定）。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恩施大峡谷旅游开发有限公司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1.2.2“供应商”是指对本次谈判采购项目表现出兴趣，并有可能实际参与该项目投标的法人。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1.2.3“投标人”是指按照一定的程序，从采购人获取了招标文件，并向采购人提交投标文件的供应商。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 “服务”是指谈判文件规定中标方须承担的监理工作及相应的配合服务工作。具体详见谈判文件第三章。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1.2.6“项目”是指中标人按谈判文件规定向采购人提供相关服务。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1.2.7谈判文件中带“▲”条款为实质性要求条款，投标人应无条件响应，否则视为无效投标。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本次招标采用竞争性谈判方式进行。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1.4.1投标人资格条件：见投标人须知前附表及谈判公告。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不论投标结果如何，投标人均应自行承担所有与投标有关的全部费用。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见投标人须知前附表。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投标人投标所使用的资格必须为本法人所拥有。投标人投标所使用的项目实施人员必须为本法人员工。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1.8.2投标人应仔细阅读谈判文件的所有内容，按照谈判文件的要求提交响应文件，并对所提供的全部资料的真实性承担法律责任。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1.8.4投标人递交的响应文件除投标截止时间前书面撤回、密封不符合规定退回等谈判文件规定情形外，均不退回投标人，请投标人自行做好存档。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2.谈判文件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2.1谈判文件的构成。本谈判文件由以下部份组成：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（1）谈判公告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（2）投标人须知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（5）响应文件格式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（6）本项目谈判文件的澄清、答复、修改、补充的内容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2.2谈判文件中涉及的时间为北京时间，涉及的币种为人民币。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投标人没有按照谈判文件要求提供全部资料，或者投标人没有对谈判文件在各方面作出实质性响应是投标人的风险，并可能导致其投标被拒绝。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2.4谈判文件的澄清与修改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2.4.2谈判文件收受人逾期未提出疑问的或未按谈判文件规定的形式提出疑问的，视为无疑问，招标采购单位不再另行安排时间答疑。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2.4.4谈判文件澄清、答复、修改、补充的内容为谈判文件的组成部分。当谈判文件与谈判文件的答复、澄清、修改、补充通知就同一内容的表述不一致时，以最后发出的内容为准。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3.响应文件的编制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3.1响应文件的组成 </w:t>
      </w:r>
    </w:p>
    <w:p>
      <w:pPr>
        <w:spacing w:after="0" w:line="360" w:lineRule="auto"/>
        <w:ind w:firstLine="480"/>
        <w:jc w:val="both"/>
        <w:rPr>
          <w:rFonts w:ascii="仿宋" w:hAnsi="仿宋" w:eastAsia="仿宋"/>
          <w:b/>
          <w:sz w:val="24"/>
          <w:szCs w:val="24"/>
        </w:rPr>
      </w:pPr>
      <w:r>
        <w:rPr>
          <w:rFonts w:hint="eastAsia" w:ascii="仿宋" w:hAnsi="仿宋" w:eastAsia="仿宋"/>
          <w:b/>
          <w:sz w:val="24"/>
          <w:szCs w:val="24"/>
        </w:rPr>
        <w:t>响应文件应包括：商务文件、技术文件和投标报价文件三个部分（装订成一册），正本壹份、副本贰份。</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（1）法定代表人授权委托书(格式见谈判文件)；</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（2）证明投标人合格的资格文件（要求见谈判文件）；</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 xml:space="preserve">（3）投标人业绩； </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（4）</w:t>
      </w:r>
      <w:r>
        <w:rPr>
          <w:rFonts w:hint="eastAsia" w:ascii="仿宋" w:hAnsi="仿宋" w:eastAsia="仿宋" w:cs="Times New Roman"/>
          <w:b/>
          <w:sz w:val="24"/>
          <w:szCs w:val="24"/>
        </w:rPr>
        <w:t>近三年财务审计报告（201</w:t>
      </w:r>
      <w:r>
        <w:rPr>
          <w:rFonts w:ascii="仿宋" w:hAnsi="仿宋" w:eastAsia="仿宋" w:cs="Times New Roman"/>
          <w:b/>
          <w:sz w:val="24"/>
          <w:szCs w:val="24"/>
        </w:rPr>
        <w:t>7</w:t>
      </w:r>
      <w:r>
        <w:rPr>
          <w:rFonts w:hint="eastAsia" w:ascii="仿宋" w:hAnsi="仿宋" w:eastAsia="仿宋" w:cs="Times New Roman"/>
          <w:b/>
          <w:sz w:val="24"/>
          <w:szCs w:val="24"/>
        </w:rPr>
        <w:t>、201</w:t>
      </w:r>
      <w:r>
        <w:rPr>
          <w:rFonts w:ascii="仿宋" w:hAnsi="仿宋" w:eastAsia="仿宋" w:cs="Times New Roman"/>
          <w:b/>
          <w:sz w:val="24"/>
          <w:szCs w:val="24"/>
        </w:rPr>
        <w:t>8</w:t>
      </w:r>
      <w:r>
        <w:rPr>
          <w:rFonts w:hint="eastAsia" w:ascii="仿宋" w:hAnsi="仿宋" w:eastAsia="仿宋" w:cs="Times New Roman"/>
          <w:b/>
          <w:sz w:val="24"/>
          <w:szCs w:val="24"/>
        </w:rPr>
        <w:t>、201</w:t>
      </w:r>
      <w:r>
        <w:rPr>
          <w:rFonts w:ascii="仿宋" w:hAnsi="仿宋" w:eastAsia="仿宋" w:cs="Times New Roman"/>
          <w:b/>
          <w:sz w:val="24"/>
          <w:szCs w:val="24"/>
        </w:rPr>
        <w:t>9</w:t>
      </w:r>
      <w:r>
        <w:rPr>
          <w:rFonts w:hint="eastAsia" w:ascii="仿宋" w:hAnsi="仿宋" w:eastAsia="仿宋" w:cs="Times New Roman"/>
          <w:b/>
          <w:sz w:val="24"/>
          <w:szCs w:val="24"/>
        </w:rPr>
        <w:t>，企业成立不足三年的根据实际情况提供）；</w:t>
      </w:r>
    </w:p>
    <w:p>
      <w:pPr>
        <w:spacing w:after="0" w:line="360" w:lineRule="auto"/>
        <w:ind w:firstLine="482" w:firstLineChars="200"/>
        <w:jc w:val="both"/>
        <w:rPr>
          <w:rFonts w:ascii="仿宋" w:hAnsi="仿宋" w:eastAsia="仿宋"/>
          <w:b/>
          <w:sz w:val="24"/>
          <w:szCs w:val="24"/>
        </w:rPr>
      </w:pPr>
      <w:r>
        <w:rPr>
          <w:rFonts w:hint="eastAsia" w:ascii="仿宋" w:hAnsi="仿宋" w:eastAsia="仿宋"/>
          <w:b/>
          <w:sz w:val="24"/>
          <w:szCs w:val="24"/>
        </w:rPr>
        <w:t>（5）拟派的总监理工程师及主要监理人员近三个月（自投标截止时间前推</w:t>
      </w:r>
      <w:r>
        <w:rPr>
          <w:rFonts w:ascii="仿宋" w:hAnsi="仿宋" w:eastAsia="仿宋"/>
          <w:b/>
          <w:sz w:val="24"/>
          <w:szCs w:val="24"/>
        </w:rPr>
        <w:t>3</w:t>
      </w:r>
      <w:r>
        <w:rPr>
          <w:rFonts w:hint="eastAsia" w:ascii="仿宋" w:hAnsi="仿宋" w:eastAsia="仿宋"/>
          <w:b/>
          <w:sz w:val="24"/>
          <w:szCs w:val="24"/>
        </w:rPr>
        <w:t>个月）的社保明细（社保局盖章）；</w:t>
      </w:r>
    </w:p>
    <w:p>
      <w:pPr>
        <w:spacing w:after="0" w:line="360" w:lineRule="auto"/>
        <w:ind w:firstLine="480"/>
        <w:jc w:val="both"/>
        <w:rPr>
          <w:rFonts w:ascii="仿宋" w:hAnsi="仿宋" w:eastAsia="仿宋"/>
          <w:b/>
          <w:sz w:val="24"/>
          <w:szCs w:val="24"/>
        </w:rPr>
      </w:pPr>
      <w:r>
        <w:rPr>
          <w:rFonts w:hint="eastAsia" w:ascii="仿宋" w:hAnsi="仿宋" w:eastAsia="仿宋"/>
          <w:b/>
          <w:sz w:val="24"/>
          <w:szCs w:val="24"/>
        </w:rPr>
        <w:t xml:space="preserve">（6）投标人认为需要提交的其他材料（如有）； </w:t>
      </w:r>
    </w:p>
    <w:p>
      <w:pPr>
        <w:spacing w:after="0" w:line="360" w:lineRule="auto"/>
        <w:ind w:firstLine="480"/>
        <w:jc w:val="both"/>
        <w:rPr>
          <w:rFonts w:ascii="仿宋" w:hAnsi="仿宋" w:eastAsia="仿宋"/>
          <w:b/>
          <w:sz w:val="24"/>
          <w:szCs w:val="24"/>
        </w:rPr>
      </w:pPr>
      <w:r>
        <w:rPr>
          <w:rFonts w:hint="eastAsia" w:ascii="仿宋" w:hAnsi="仿宋" w:eastAsia="仿宋"/>
          <w:b/>
          <w:sz w:val="24"/>
          <w:szCs w:val="24"/>
        </w:rPr>
        <w:t>（7）投标人须知前附表中规定的其它内容。</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（1）机构设置及主要人员情况介绍（格式见谈判文件）；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（2）监理方式及监理工作大纲（格式自拟）；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（3）投标人需要说明的其他文件和说明（如有）。</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（1）投标函（格式见谈判文件）。投标函除在响应文件中装订外，还应单独装订一份密封在信封内，唱标时使用。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（2）报价书（格式见谈判文件）。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3.3.1投标报价应按谈判文件中相关附表格式填写。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3.3.2投标报价不得超过投标限价，否则将被视为无效投标。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3.3.3响应文件中的投标报价只允许有一个报价，有选择的或有条件的报价将不予接受。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3.4.2投标人及其法定代表人近三年内无行贿犯罪记录的书面承诺。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3.5证明服务符合谈判文件规定的文件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3.5.1谈判文件商务要求和技术参数前如标有“▲”号，则表示该参数为关键性商务或技术参数，投标人必须无条件满足，否则该投标人的响应文件在评审中将被视为无效投标。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3.6谈判文件的有效期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3.6.1自谈判截止日起60天内响应文件应保持有效。有效期不足的响应文件将被拒绝。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w:t>
      </w:r>
      <w:r>
        <w:rPr>
          <w:rFonts w:hint="eastAsia" w:ascii="仿宋" w:hAnsi="仿宋" w:eastAsia="仿宋"/>
          <w:b/>
          <w:sz w:val="24"/>
          <w:szCs w:val="24"/>
          <w:u w:val="single"/>
        </w:rPr>
        <w:t>投标人应按本谈判文件规定的格式、要求和顺序编制、装订响应文件，响应文件内容不完整、编排混乱导致响应文件被误读、漏读或者查找不到相关内容的，投标无效</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3.7.2响应文件的正本与副本须打印或用不褪色的墨水填写。响应文件封面须清楚地标明“正本”或“副本”字样，正本与副本内容一致；若正本与副本不一致，以正本为准。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3.8.1响应文件的正本、副本应分别装订成册。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3.8.2所有响应文件装订须牢固不易拆散和换页。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3.8.3投标人应将响应文件用密封袋密封包装。</w:t>
      </w:r>
      <w:r>
        <w:rPr>
          <w:rFonts w:hint="eastAsia" w:ascii="仿宋" w:hAnsi="仿宋" w:eastAsia="仿宋"/>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hint="eastAsia" w:ascii="仿宋" w:hAnsi="仿宋" w:eastAsia="仿宋"/>
          <w:b/>
          <w:sz w:val="24"/>
          <w:szCs w:val="24"/>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3.9.1投标人应当在谈判须知前附表和谈判公告规定的谈判截止时间前向采购人递交响应文件，逾期递交的响应文件将被拒绝。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3.9.2响应文件必须由专人按照谈判须知前附表和谈判公告注明的地址送达，采用特快专递、电话、传真形式的，将被拒绝。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4.1采购人将按谈判须知前附表和谈判公告规定的时间和地点组织开标，投标人的法定代表人或其委托代理人应持身份证参加开标会并签到。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4.2开标程序：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4.2.1开标会由采购人主持，主持人宣布开标会议开始。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投标人递交资格证明材料。详见投标人须知前附表。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4.2.3查验投标人到场情况及响应文件的密封情况。投标人的法定代表人或其委托代理人未参加开标会，或投响应文件没有按规定密封的，响应文件将被拒绝、退还给投标人。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4.2.6资格性审查和符合性审查结束后，由主持人公布无效投标的投标人名单、投标无效的原因。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4.2.7工作人员当众拆封经上述审查后有效投标的投标报价文件，唱标人宣读投标人名称、投标报价，并由投标人在投标报价记录上签字确认。</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4.2.8开标会由专人负责记录。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4.2.9投标人对开标有异议的，应当在开标现场提出。开标后投标人不得对开标现场已确认事项提出质疑。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5.1组建评标委员会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本项目采用不公开方式评标，评标的依据为谈判文件和响应文件。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5.3.2评标办法。本项目评标办法是综合评分法。评标委员会应根据投标人的资格条件、业绩、财务状况、技术力量、履约能力和投标报价进行综合评定。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5.4.2商务文件和技术文件的符合性审查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5.4.3投标报价文件的符合性审查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5.4.4推荐中标候选人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6.1评标委员会综合评估后，推荐中标候选人。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6.2采购人于评标结束后依据评审意见表确定中标人。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7.1.2中标人应在领取中标通知书之日起30个工作日内与采购人签订合同。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7.1.3签订合同的依据是谈判文件和中标人的投标响应文件，不得对其作实质性的修改，否则签订的合同无效。</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 xml:space="preserve">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bookmarkStart w:id="2" w:name="_Toc504125540"/>
      <w:bookmarkStart w:id="3" w:name="_Toc448855850"/>
      <w:bookmarkStart w:id="4" w:name="_Toc294434386"/>
      <w:bookmarkStart w:id="5" w:name="_Toc233114000"/>
    </w:p>
    <w:p>
      <w:pPr>
        <w:pStyle w:val="2"/>
        <w:jc w:val="center"/>
        <w:rPr>
          <w:rFonts w:ascii="宋体" w:hAnsi="宋体" w:cs="MingLiU"/>
          <w:kern w:val="0"/>
          <w:sz w:val="28"/>
          <w:szCs w:val="28"/>
        </w:rPr>
      </w:pPr>
      <w:r>
        <w:rPr>
          <w:rFonts w:hint="eastAsia" w:ascii="宋体" w:hAnsi="宋体" w:cs="MingLiU"/>
          <w:kern w:val="0"/>
          <w:sz w:val="28"/>
          <w:szCs w:val="28"/>
        </w:rPr>
        <w:t>第三章</w:t>
      </w:r>
      <w:r>
        <w:rPr>
          <w:rFonts w:hint="eastAsia" w:ascii="宋体" w:hAnsi="宋体"/>
          <w:kern w:val="0"/>
          <w:sz w:val="28"/>
          <w:szCs w:val="28"/>
        </w:rPr>
        <w:t xml:space="preserve"> </w:t>
      </w:r>
      <w:r>
        <w:rPr>
          <w:rFonts w:hint="eastAsia" w:ascii="宋体" w:hAnsi="宋体" w:cs="MingLiU"/>
          <w:kern w:val="0"/>
          <w:sz w:val="28"/>
          <w:szCs w:val="28"/>
        </w:rPr>
        <w:t>评标办法（综合评分法）</w:t>
      </w:r>
      <w:bookmarkEnd w:id="2"/>
      <w:bookmarkEnd w:id="3"/>
      <w:bookmarkEnd w:id="4"/>
      <w:bookmarkEnd w:id="5"/>
    </w:p>
    <w:p>
      <w:pPr>
        <w:pStyle w:val="4"/>
        <w:spacing w:before="0" w:after="0" w:line="240" w:lineRule="auto"/>
        <w:jc w:val="center"/>
        <w:rPr>
          <w:rFonts w:ascii="仿宋" w:hAnsi="仿宋" w:eastAsia="仿宋"/>
          <w:sz w:val="24"/>
          <w:szCs w:val="24"/>
        </w:rPr>
      </w:pPr>
      <w:bookmarkStart w:id="6" w:name="_Toc490494607"/>
      <w:bookmarkStart w:id="7" w:name="_Toc504125541"/>
      <w:bookmarkStart w:id="8" w:name="_Toc420778141"/>
      <w:bookmarkStart w:id="9" w:name="_Toc448855851"/>
      <w:bookmarkStart w:id="10" w:name="_Toc420764374"/>
      <w:r>
        <w:rPr>
          <w:rFonts w:hint="eastAsia" w:ascii="仿宋" w:hAnsi="仿宋" w:eastAsia="仿宋"/>
          <w:sz w:val="24"/>
          <w:szCs w:val="24"/>
        </w:rPr>
        <w:t>评标办法前附表</w:t>
      </w:r>
      <w:bookmarkEnd w:id="6"/>
      <w:bookmarkEnd w:id="7"/>
    </w:p>
    <w:tbl>
      <w:tblPr>
        <w:tblStyle w:val="15"/>
        <w:tblW w:w="93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45"/>
        <w:gridCol w:w="2489"/>
        <w:gridCol w:w="4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943" w:type="dxa"/>
            <w:gridSpan w:val="2"/>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条款号</w:t>
            </w:r>
          </w:p>
        </w:tc>
        <w:tc>
          <w:tcPr>
            <w:tcW w:w="2489" w:type="dxa"/>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评审因素</w:t>
            </w:r>
          </w:p>
        </w:tc>
        <w:tc>
          <w:tcPr>
            <w:tcW w:w="4903" w:type="dxa"/>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评审标准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.1.1</w:t>
            </w:r>
          </w:p>
        </w:tc>
        <w:tc>
          <w:tcPr>
            <w:tcW w:w="1245" w:type="dxa"/>
            <w:vMerge w:val="restart"/>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资格评审标准</w:t>
            </w: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营业执照和资质</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财务状况</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类似项目业绩</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信誉证明</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总监理工程师</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社保证明</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不拖欠员工工资承诺</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.1.2</w:t>
            </w:r>
          </w:p>
        </w:tc>
        <w:tc>
          <w:tcPr>
            <w:tcW w:w="1245" w:type="dxa"/>
            <w:vMerge w:val="restart"/>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形式与响应性评审</w:t>
            </w:r>
          </w:p>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投标函签字盖章</w:t>
            </w:r>
          </w:p>
        </w:tc>
        <w:tc>
          <w:tcPr>
            <w:tcW w:w="4903" w:type="dxa"/>
            <w:vAlign w:val="center"/>
          </w:tcPr>
          <w:p>
            <w:pPr>
              <w:rPr>
                <w:rFonts w:ascii="仿宋" w:hAnsi="仿宋" w:eastAsia="仿宋"/>
                <w:sz w:val="21"/>
                <w:szCs w:val="21"/>
              </w:rPr>
            </w:pPr>
            <w:r>
              <w:rPr>
                <w:rFonts w:hint="eastAsia" w:ascii="仿宋" w:hAnsi="仿宋" w:eastAsia="仿宋"/>
                <w:sz w:val="21"/>
                <w:szCs w:val="21"/>
              </w:rPr>
              <w:t>有法定代表人或其委托代理人签字并加盖单位章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工期</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w:t>
            </w:r>
            <w:r>
              <w:rPr>
                <w:rFonts w:ascii="仿宋" w:hAnsi="仿宋" w:eastAsia="仿宋"/>
                <w:sz w:val="21"/>
                <w:szCs w:val="21"/>
              </w:rPr>
              <w:t>”</w:t>
            </w:r>
            <w:r>
              <w:rPr>
                <w:rFonts w:hint="eastAsia" w:ascii="仿宋" w:hAnsi="仿宋" w:eastAsia="仿宋"/>
                <w:sz w:val="21"/>
                <w:szCs w:val="21"/>
              </w:rPr>
              <w:t>第3项规定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jc w:val="cente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工程质量</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符合第二章“投标人须知前附表”第3项规定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投标文件格式</w:t>
            </w:r>
          </w:p>
        </w:tc>
        <w:tc>
          <w:tcPr>
            <w:tcW w:w="4903" w:type="dxa"/>
            <w:vAlign w:val="center"/>
          </w:tcPr>
          <w:p>
            <w:pPr>
              <w:rPr>
                <w:rFonts w:ascii="仿宋" w:hAnsi="仿宋" w:eastAsia="仿宋"/>
                <w:sz w:val="21"/>
                <w:szCs w:val="21"/>
              </w:rPr>
            </w:pPr>
            <w:r>
              <w:rPr>
                <w:rFonts w:hint="eastAsia" w:ascii="仿宋" w:hAnsi="仿宋" w:eastAsia="仿宋"/>
                <w:sz w:val="21"/>
                <w:szCs w:val="21"/>
              </w:rPr>
              <w:t>符合第八章“投标文件格式”的要求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报价唯一</w:t>
            </w:r>
          </w:p>
        </w:tc>
        <w:tc>
          <w:tcPr>
            <w:tcW w:w="4903" w:type="dxa"/>
            <w:vAlign w:val="center"/>
          </w:tcPr>
          <w:p>
            <w:pPr>
              <w:rPr>
                <w:rFonts w:ascii="仿宋" w:hAnsi="仿宋" w:eastAsia="仿宋"/>
                <w:sz w:val="21"/>
                <w:szCs w:val="21"/>
              </w:rPr>
            </w:pPr>
            <w:r>
              <w:rPr>
                <w:rFonts w:hint="eastAsia" w:ascii="仿宋" w:hAnsi="仿宋" w:eastAsia="仿宋"/>
                <w:sz w:val="21"/>
                <w:szCs w:val="21"/>
              </w:rPr>
              <w:t>只能有一个有效报价，不允许有调价函。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对考勤的承诺</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符合第二章“投标人须知前附表”第16项规定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投标有效期</w:t>
            </w:r>
          </w:p>
        </w:tc>
        <w:tc>
          <w:tcPr>
            <w:tcW w:w="4903" w:type="dxa"/>
            <w:vAlign w:val="center"/>
          </w:tcPr>
          <w:p>
            <w:pPr>
              <w:rPr>
                <w:rFonts w:ascii="仿宋" w:hAnsi="仿宋" w:eastAsia="仿宋"/>
                <w:sz w:val="21"/>
                <w:szCs w:val="21"/>
              </w:rPr>
            </w:pPr>
            <w:r>
              <w:rPr>
                <w:rFonts w:hint="eastAsia" w:ascii="仿宋" w:hAnsi="仿宋" w:eastAsia="仿宋"/>
                <w:sz w:val="21"/>
                <w:szCs w:val="21"/>
              </w:rPr>
              <w:t>符合第二章“投标人须知”第</w:t>
            </w:r>
            <w:r>
              <w:rPr>
                <w:rFonts w:ascii="仿宋" w:hAnsi="仿宋" w:eastAsia="仿宋"/>
                <w:sz w:val="21"/>
                <w:szCs w:val="21"/>
              </w:rPr>
              <w:t>3</w:t>
            </w:r>
            <w:r>
              <w:rPr>
                <w:rFonts w:hint="eastAsia" w:ascii="仿宋" w:hAnsi="仿宋" w:eastAsia="仿宋"/>
                <w:sz w:val="21"/>
                <w:szCs w:val="21"/>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权利义务</w:t>
            </w:r>
          </w:p>
        </w:tc>
        <w:tc>
          <w:tcPr>
            <w:tcW w:w="4903" w:type="dxa"/>
            <w:vAlign w:val="center"/>
          </w:tcPr>
          <w:p>
            <w:pPr>
              <w:rPr>
                <w:rFonts w:ascii="仿宋" w:hAnsi="仿宋" w:eastAsia="仿宋"/>
                <w:sz w:val="21"/>
                <w:szCs w:val="21"/>
              </w:rPr>
            </w:pPr>
            <w:r>
              <w:rPr>
                <w:rFonts w:hint="eastAsia" w:ascii="仿宋" w:hAnsi="仿宋" w:eastAsia="仿宋"/>
                <w:sz w:val="21"/>
                <w:szCs w:val="21"/>
              </w:rPr>
              <w:t>符合第四章“合同条款及格式”规定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技术标准和要求</w:t>
            </w:r>
          </w:p>
        </w:tc>
        <w:tc>
          <w:tcPr>
            <w:tcW w:w="4903" w:type="dxa"/>
            <w:vAlign w:val="center"/>
          </w:tcPr>
          <w:p>
            <w:pPr>
              <w:rPr>
                <w:rFonts w:ascii="仿宋" w:hAnsi="仿宋" w:eastAsia="仿宋"/>
                <w:sz w:val="21"/>
                <w:szCs w:val="21"/>
              </w:rPr>
            </w:pPr>
            <w:r>
              <w:rPr>
                <w:rFonts w:hint="eastAsia" w:ascii="仿宋" w:hAnsi="仿宋" w:eastAsia="仿宋"/>
                <w:sz w:val="21"/>
                <w:szCs w:val="21"/>
              </w:rPr>
              <w:t>符合现行国家规范标准规定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sz w:val="21"/>
                <w:szCs w:val="21"/>
              </w:rPr>
            </w:pPr>
          </w:p>
        </w:tc>
        <w:tc>
          <w:tcPr>
            <w:tcW w:w="1245" w:type="dxa"/>
            <w:vMerge w:val="continue"/>
            <w:tcMar>
              <w:left w:w="57" w:type="dxa"/>
              <w:right w:w="57" w:type="dxa"/>
            </w:tcMar>
            <w:vAlign w:val="center"/>
          </w:tcPr>
          <w:p>
            <w:pPr>
              <w:rPr>
                <w:rFonts w:ascii="仿宋" w:hAnsi="仿宋" w:eastAsia="仿宋"/>
                <w:sz w:val="21"/>
                <w:szCs w:val="21"/>
              </w:rPr>
            </w:pPr>
          </w:p>
        </w:tc>
        <w:tc>
          <w:tcPr>
            <w:tcW w:w="2489" w:type="dxa"/>
            <w:tcMar>
              <w:left w:w="57" w:type="dxa"/>
              <w:right w:w="57" w:type="dxa"/>
            </w:tcMar>
            <w:vAlign w:val="center"/>
          </w:tcPr>
          <w:p>
            <w:pPr>
              <w:rPr>
                <w:rFonts w:ascii="仿宋" w:hAnsi="仿宋" w:eastAsia="仿宋"/>
                <w:sz w:val="21"/>
                <w:szCs w:val="21"/>
              </w:rPr>
            </w:pPr>
            <w:r>
              <w:rPr>
                <w:rFonts w:hint="eastAsia" w:ascii="仿宋" w:hAnsi="仿宋" w:eastAsia="仿宋"/>
                <w:sz w:val="21"/>
                <w:szCs w:val="21"/>
              </w:rPr>
              <w:t>……</w:t>
            </w:r>
          </w:p>
        </w:tc>
        <w:tc>
          <w:tcPr>
            <w:tcW w:w="4903" w:type="dxa"/>
            <w:vAlign w:val="center"/>
          </w:tcPr>
          <w:p>
            <w:pPr>
              <w:rPr>
                <w:rFonts w:ascii="仿宋" w:hAnsi="仿宋" w:eastAsia="仿宋"/>
                <w:sz w:val="21"/>
                <w:szCs w:val="21"/>
              </w:rPr>
            </w:pPr>
            <w:r>
              <w:rPr>
                <w:rFonts w:hint="eastAsia" w:ascii="仿宋" w:hAnsi="仿宋" w:eastAsia="仿宋"/>
                <w:sz w:val="21"/>
                <w:szCs w:val="21"/>
              </w:rPr>
              <w:t>……</w:t>
            </w:r>
          </w:p>
        </w:tc>
      </w:tr>
    </w:tbl>
    <w:p>
      <w:pPr>
        <w:rPr>
          <w:rFonts w:ascii="仿宋" w:hAnsi="仿宋" w:eastAsia="仿宋"/>
          <w:sz w:val="21"/>
          <w:szCs w:val="21"/>
        </w:rPr>
      </w:pPr>
      <w:r>
        <w:rPr>
          <w:rFonts w:ascii="仿宋" w:hAnsi="仿宋" w:eastAsia="仿宋"/>
          <w:sz w:val="21"/>
          <w:szCs w:val="21"/>
        </w:rPr>
        <w:br w:type="column"/>
      </w:r>
    </w:p>
    <w:p>
      <w:pPr>
        <w:rPr>
          <w:rFonts w:ascii="仿宋" w:hAnsi="仿宋" w:eastAsia="仿宋"/>
          <w:sz w:val="21"/>
          <w:szCs w:val="21"/>
        </w:rPr>
      </w:pPr>
    </w:p>
    <w:tbl>
      <w:tblPr>
        <w:tblStyle w:val="15"/>
        <w:tblW w:w="97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854"/>
        <w:gridCol w:w="440"/>
        <w:gridCol w:w="826"/>
        <w:gridCol w:w="1668"/>
        <w:gridCol w:w="5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54" w:type="dxa"/>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条款号</w:t>
            </w:r>
          </w:p>
        </w:tc>
        <w:tc>
          <w:tcPr>
            <w:tcW w:w="2120" w:type="dxa"/>
            <w:gridSpan w:val="3"/>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条款内容</w:t>
            </w:r>
          </w:p>
        </w:tc>
        <w:tc>
          <w:tcPr>
            <w:tcW w:w="6860" w:type="dxa"/>
            <w:gridSpan w:val="2"/>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7" w:hRule="atLeast"/>
          <w:jc w:val="center"/>
        </w:trPr>
        <w:tc>
          <w:tcPr>
            <w:tcW w:w="754" w:type="dxa"/>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.2.1</w:t>
            </w:r>
          </w:p>
        </w:tc>
        <w:tc>
          <w:tcPr>
            <w:tcW w:w="2120" w:type="dxa"/>
            <w:gridSpan w:val="3"/>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分值构成</w:t>
            </w:r>
          </w:p>
          <w:p>
            <w:pPr>
              <w:jc w:val="center"/>
              <w:rPr>
                <w:rFonts w:ascii="仿宋" w:hAnsi="仿宋" w:eastAsia="仿宋"/>
                <w:sz w:val="21"/>
                <w:szCs w:val="21"/>
              </w:rPr>
            </w:pPr>
            <w:r>
              <w:rPr>
                <w:rFonts w:hint="eastAsia" w:ascii="仿宋" w:hAnsi="仿宋" w:eastAsia="仿宋"/>
                <w:sz w:val="21"/>
                <w:szCs w:val="21"/>
              </w:rPr>
              <w:t>（总分</w:t>
            </w:r>
            <w:r>
              <w:rPr>
                <w:rFonts w:ascii="仿宋" w:hAnsi="仿宋" w:eastAsia="仿宋"/>
                <w:sz w:val="21"/>
                <w:szCs w:val="21"/>
              </w:rPr>
              <w:t>100</w:t>
            </w:r>
            <w:r>
              <w:rPr>
                <w:rFonts w:hint="eastAsia" w:ascii="仿宋" w:hAnsi="仿宋" w:eastAsia="仿宋"/>
                <w:sz w:val="21"/>
                <w:szCs w:val="21"/>
              </w:rPr>
              <w:t>分）</w:t>
            </w:r>
          </w:p>
        </w:tc>
        <w:tc>
          <w:tcPr>
            <w:tcW w:w="6860" w:type="dxa"/>
            <w:gridSpan w:val="2"/>
            <w:tcMar>
              <w:left w:w="57" w:type="dxa"/>
              <w:right w:w="57" w:type="dxa"/>
            </w:tcMar>
            <w:vAlign w:val="center"/>
          </w:tcPr>
          <w:p>
            <w:pPr>
              <w:spacing w:after="0" w:line="360" w:lineRule="auto"/>
              <w:rPr>
                <w:rFonts w:ascii="仿宋" w:hAnsi="仿宋" w:eastAsia="仿宋"/>
                <w:sz w:val="21"/>
                <w:szCs w:val="21"/>
              </w:rPr>
            </w:pPr>
            <w:r>
              <w:rPr>
                <w:rFonts w:hint="eastAsia" w:ascii="仿宋" w:hAnsi="仿宋" w:eastAsia="仿宋"/>
                <w:sz w:val="21"/>
                <w:szCs w:val="21"/>
              </w:rPr>
              <w:t>评标内容由技术标、商务标和综合标三部分组成，总分值为</w:t>
            </w:r>
            <w:r>
              <w:rPr>
                <w:rFonts w:ascii="仿宋" w:hAnsi="仿宋" w:eastAsia="仿宋"/>
                <w:sz w:val="21"/>
                <w:szCs w:val="21"/>
              </w:rPr>
              <w:t>100</w:t>
            </w:r>
            <w:r>
              <w:rPr>
                <w:rFonts w:hint="eastAsia" w:ascii="仿宋" w:hAnsi="仿宋" w:eastAsia="仿宋"/>
                <w:sz w:val="21"/>
                <w:szCs w:val="21"/>
              </w:rPr>
              <w:t>分。技术标、商务标、综合标应按下列比例选用：</w:t>
            </w:r>
          </w:p>
          <w:p>
            <w:pPr>
              <w:spacing w:after="0" w:line="360" w:lineRule="auto"/>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0</w:t>
            </w:r>
            <w:r>
              <w:rPr>
                <w:rFonts w:ascii="仿宋" w:hAnsi="仿宋" w:eastAsia="仿宋"/>
                <w:sz w:val="21"/>
                <w:szCs w:val="21"/>
              </w:rPr>
              <w:t>%    5</w:t>
            </w:r>
            <w:r>
              <w:rPr>
                <w:rFonts w:hint="eastAsia" w:ascii="仿宋" w:hAnsi="仿宋" w:eastAsia="仿宋"/>
                <w:sz w:val="21"/>
                <w:szCs w:val="21"/>
              </w:rPr>
              <w:t>0</w:t>
            </w:r>
            <w:r>
              <w:rPr>
                <w:rFonts w:ascii="仿宋" w:hAnsi="仿宋" w:eastAsia="仿宋"/>
                <w:sz w:val="21"/>
                <w:szCs w:val="21"/>
              </w:rPr>
              <w:t xml:space="preserve">%   </w:t>
            </w:r>
            <w:r>
              <w:rPr>
                <w:rFonts w:hint="eastAsia" w:ascii="仿宋" w:hAnsi="仿宋" w:eastAsia="仿宋"/>
                <w:sz w:val="21"/>
                <w:szCs w:val="21"/>
              </w:rPr>
              <w:t>30</w:t>
            </w:r>
            <w:r>
              <w:rPr>
                <w:rFonts w:ascii="仿宋" w:hAnsi="仿宋" w:eastAsia="仿宋"/>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754" w:type="dxa"/>
            <w:vMerge w:val="restart"/>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.2.2</w:t>
            </w:r>
          </w:p>
        </w:tc>
        <w:tc>
          <w:tcPr>
            <w:tcW w:w="854" w:type="dxa"/>
            <w:vMerge w:val="restart"/>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商务标</w:t>
            </w:r>
          </w:p>
          <w:p>
            <w:pPr>
              <w:jc w:val="center"/>
              <w:rPr>
                <w:rFonts w:ascii="仿宋" w:hAnsi="仿宋" w:eastAsia="仿宋"/>
                <w:sz w:val="21"/>
                <w:szCs w:val="21"/>
              </w:rPr>
            </w:pPr>
            <w:r>
              <w:rPr>
                <w:rFonts w:hint="eastAsia" w:ascii="仿宋" w:hAnsi="仿宋" w:eastAsia="仿宋"/>
                <w:sz w:val="21"/>
                <w:szCs w:val="21"/>
              </w:rPr>
              <w:t>评审</w:t>
            </w:r>
          </w:p>
          <w:p>
            <w:pPr>
              <w:jc w:val="center"/>
              <w:rPr>
                <w:rFonts w:ascii="仿宋" w:hAnsi="仿宋" w:eastAsia="仿宋"/>
                <w:spacing w:val="20"/>
                <w:sz w:val="21"/>
                <w:szCs w:val="21"/>
              </w:rPr>
            </w:pPr>
            <w:r>
              <w:rPr>
                <w:rFonts w:hint="eastAsia" w:ascii="仿宋" w:hAnsi="仿宋" w:eastAsia="仿宋"/>
                <w:spacing w:val="20"/>
                <w:sz w:val="21"/>
                <w:szCs w:val="21"/>
              </w:rPr>
              <w:t>（</w:t>
            </w:r>
            <w:r>
              <w:rPr>
                <w:rFonts w:ascii="仿宋" w:hAnsi="仿宋" w:eastAsia="仿宋"/>
                <w:spacing w:val="20"/>
                <w:sz w:val="21"/>
                <w:szCs w:val="21"/>
              </w:rPr>
              <w:t>5</w:t>
            </w:r>
            <w:r>
              <w:rPr>
                <w:rFonts w:hint="eastAsia" w:ascii="仿宋" w:hAnsi="仿宋" w:eastAsia="仿宋"/>
                <w:spacing w:val="20"/>
                <w:sz w:val="21"/>
                <w:szCs w:val="21"/>
              </w:rPr>
              <w:t>0分）</w:t>
            </w:r>
          </w:p>
        </w:tc>
        <w:tc>
          <w:tcPr>
            <w:tcW w:w="1266" w:type="dxa"/>
            <w:gridSpan w:val="2"/>
            <w:vMerge w:val="restart"/>
            <w:vAlign w:val="center"/>
          </w:tcPr>
          <w:p>
            <w:pPr>
              <w:jc w:val="center"/>
              <w:rPr>
                <w:rFonts w:ascii="仿宋" w:hAnsi="仿宋" w:eastAsia="仿宋"/>
                <w:sz w:val="21"/>
                <w:szCs w:val="21"/>
              </w:rPr>
            </w:pPr>
            <w:r>
              <w:rPr>
                <w:rFonts w:hint="eastAsia" w:ascii="仿宋" w:hAnsi="仿宋" w:eastAsia="仿宋"/>
                <w:sz w:val="21"/>
                <w:szCs w:val="21"/>
              </w:rPr>
              <w:t>评标基准价</w:t>
            </w:r>
          </w:p>
          <w:p>
            <w:pPr>
              <w:jc w:val="center"/>
              <w:rPr>
                <w:rFonts w:ascii="仿宋" w:hAnsi="仿宋" w:eastAsia="仿宋"/>
                <w:sz w:val="21"/>
                <w:szCs w:val="21"/>
              </w:rPr>
            </w:pPr>
            <w:r>
              <w:rPr>
                <w:rFonts w:hint="eastAsia" w:ascii="仿宋" w:hAnsi="仿宋" w:eastAsia="仿宋"/>
                <w:sz w:val="21"/>
                <w:szCs w:val="21"/>
              </w:rPr>
              <w:t>计算方法</w:t>
            </w:r>
          </w:p>
        </w:tc>
        <w:tc>
          <w:tcPr>
            <w:tcW w:w="6860" w:type="dxa"/>
            <w:gridSpan w:val="2"/>
            <w:vAlign w:val="center"/>
          </w:tcPr>
          <w:p>
            <w:pPr>
              <w:ind w:firstLine="420" w:firstLineChars="200"/>
              <w:rPr>
                <w:rFonts w:ascii="仿宋" w:hAnsi="仿宋" w:eastAsia="仿宋"/>
                <w:sz w:val="21"/>
                <w:szCs w:val="21"/>
              </w:rPr>
            </w:pPr>
            <w:r>
              <w:rPr>
                <w:rFonts w:hint="eastAsia" w:ascii="仿宋" w:hAnsi="仿宋" w:eastAsia="仿宋"/>
                <w:sz w:val="21"/>
                <w:szCs w:val="21"/>
              </w:rPr>
              <w:t>招标人将对本合同工程设置招标控制价，通过初步评审并经谈判后的报价为最终投标价。最终投标价超出招标控制价范围的，其投标文件作废标处理。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exact"/>
          <w:jc w:val="center"/>
        </w:trPr>
        <w:tc>
          <w:tcPr>
            <w:tcW w:w="754" w:type="dxa"/>
            <w:vMerge w:val="continue"/>
            <w:tcMar>
              <w:left w:w="57" w:type="dxa"/>
              <w:right w:w="57" w:type="dxa"/>
            </w:tcMar>
            <w:vAlign w:val="center"/>
          </w:tcPr>
          <w:p>
            <w:pPr>
              <w:jc w:val="center"/>
              <w:rPr>
                <w:rFonts w:ascii="仿宋" w:hAnsi="仿宋" w:eastAsia="仿宋"/>
                <w:sz w:val="21"/>
                <w:szCs w:val="21"/>
              </w:rPr>
            </w:pPr>
          </w:p>
        </w:tc>
        <w:tc>
          <w:tcPr>
            <w:tcW w:w="854" w:type="dxa"/>
            <w:vMerge w:val="continue"/>
            <w:tcMar>
              <w:left w:w="57" w:type="dxa"/>
              <w:right w:w="57" w:type="dxa"/>
            </w:tcMar>
            <w:vAlign w:val="center"/>
          </w:tcPr>
          <w:p>
            <w:pPr>
              <w:jc w:val="center"/>
              <w:rPr>
                <w:rFonts w:ascii="仿宋" w:hAnsi="仿宋" w:eastAsia="仿宋"/>
                <w:sz w:val="21"/>
                <w:szCs w:val="21"/>
              </w:rPr>
            </w:pPr>
          </w:p>
        </w:tc>
        <w:tc>
          <w:tcPr>
            <w:tcW w:w="1266" w:type="dxa"/>
            <w:gridSpan w:val="2"/>
            <w:vMerge w:val="continue"/>
            <w:vAlign w:val="center"/>
          </w:tcPr>
          <w:p>
            <w:pPr>
              <w:jc w:val="center"/>
              <w:rPr>
                <w:rFonts w:ascii="仿宋" w:hAnsi="仿宋" w:eastAsia="仿宋"/>
                <w:sz w:val="21"/>
                <w:szCs w:val="21"/>
              </w:rPr>
            </w:pPr>
          </w:p>
        </w:tc>
        <w:tc>
          <w:tcPr>
            <w:tcW w:w="6860" w:type="dxa"/>
            <w:gridSpan w:val="2"/>
            <w:vAlign w:val="center"/>
          </w:tcPr>
          <w:p>
            <w:pPr>
              <w:ind w:firstLine="420" w:firstLineChars="200"/>
              <w:rPr>
                <w:rFonts w:ascii="仿宋" w:hAnsi="仿宋" w:eastAsia="仿宋"/>
                <w:sz w:val="21"/>
                <w:szCs w:val="21"/>
              </w:rPr>
            </w:pPr>
            <w:r>
              <w:rPr>
                <w:rFonts w:hint="eastAsia" w:ascii="仿宋" w:hAnsi="仿宋" w:eastAsia="仿宋"/>
                <w:sz w:val="21"/>
                <w:szCs w:val="21"/>
              </w:rPr>
              <w:t>评标基准价的计算：各有效投标的投标报价中（最终报价），去掉一个最高报价和一个最低报价后的算术平均值。若有效投标少于五家（不含五家），则以所有有效投标的投标报价的算术平均值为评标基准价。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39" w:hRule="atLeast"/>
          <w:jc w:val="center"/>
        </w:trPr>
        <w:tc>
          <w:tcPr>
            <w:tcW w:w="754" w:type="dxa"/>
            <w:vMerge w:val="continue"/>
            <w:tcMar>
              <w:left w:w="57" w:type="dxa"/>
              <w:right w:w="57" w:type="dxa"/>
            </w:tcMar>
            <w:vAlign w:val="center"/>
          </w:tcPr>
          <w:p>
            <w:pPr>
              <w:jc w:val="center"/>
              <w:rPr>
                <w:rFonts w:ascii="仿宋" w:hAnsi="仿宋" w:eastAsia="仿宋"/>
                <w:sz w:val="21"/>
                <w:szCs w:val="21"/>
              </w:rPr>
            </w:pPr>
          </w:p>
        </w:tc>
        <w:tc>
          <w:tcPr>
            <w:tcW w:w="854" w:type="dxa"/>
            <w:vMerge w:val="continue"/>
            <w:tcMar>
              <w:left w:w="57" w:type="dxa"/>
              <w:right w:w="57" w:type="dxa"/>
            </w:tcMar>
            <w:vAlign w:val="center"/>
          </w:tcPr>
          <w:p>
            <w:pPr>
              <w:jc w:val="center"/>
              <w:rPr>
                <w:rFonts w:ascii="仿宋" w:hAnsi="仿宋" w:eastAsia="仿宋"/>
                <w:sz w:val="21"/>
                <w:szCs w:val="21"/>
              </w:rPr>
            </w:pPr>
          </w:p>
        </w:tc>
        <w:tc>
          <w:tcPr>
            <w:tcW w:w="1266" w:type="dxa"/>
            <w:gridSpan w:val="2"/>
            <w:vAlign w:val="center"/>
          </w:tcPr>
          <w:p>
            <w:pPr>
              <w:jc w:val="center"/>
              <w:rPr>
                <w:rFonts w:ascii="仿宋" w:hAnsi="仿宋" w:eastAsia="仿宋"/>
                <w:sz w:val="21"/>
                <w:szCs w:val="21"/>
              </w:rPr>
            </w:pPr>
            <w:r>
              <w:rPr>
                <w:rFonts w:hint="eastAsia" w:ascii="仿宋" w:hAnsi="仿宋" w:eastAsia="仿宋"/>
                <w:sz w:val="21"/>
                <w:szCs w:val="21"/>
              </w:rPr>
              <w:t>商务标的得分计算公式</w:t>
            </w:r>
          </w:p>
        </w:tc>
        <w:tc>
          <w:tcPr>
            <w:tcW w:w="6860" w:type="dxa"/>
            <w:gridSpan w:val="2"/>
            <w:vAlign w:val="center"/>
          </w:tcPr>
          <w:p>
            <w:pPr>
              <w:ind w:firstLine="420" w:firstLineChars="200"/>
              <w:rPr>
                <w:rFonts w:ascii="仿宋" w:hAnsi="仿宋" w:eastAsia="仿宋"/>
                <w:sz w:val="21"/>
                <w:szCs w:val="21"/>
              </w:rPr>
            </w:pPr>
            <w:r>
              <w:rPr>
                <w:rFonts w:hint="eastAsia" w:ascii="仿宋" w:hAnsi="仿宋" w:eastAsia="仿宋"/>
                <w:sz w:val="21"/>
                <w:szCs w:val="21"/>
              </w:rPr>
              <w:t>商务标的得分为：</w:t>
            </w:r>
          </w:p>
          <w:p>
            <w:pPr>
              <w:ind w:firstLine="420" w:firstLineChars="200"/>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）投标报价低于评标价的，每低于</w:t>
            </w:r>
            <w:r>
              <w:rPr>
                <w:rFonts w:ascii="仿宋" w:hAnsi="仿宋" w:eastAsia="仿宋"/>
                <w:sz w:val="21"/>
                <w:szCs w:val="21"/>
              </w:rPr>
              <w:t>1.0%</w:t>
            </w:r>
            <w:r>
              <w:rPr>
                <w:rFonts w:hint="eastAsia" w:ascii="仿宋" w:hAnsi="仿宋" w:eastAsia="仿宋"/>
                <w:sz w:val="21"/>
                <w:szCs w:val="21"/>
              </w:rPr>
              <w:t>扣0.5</w:t>
            </w:r>
            <w:r>
              <w:rPr>
                <w:rFonts w:ascii="仿宋" w:hAnsi="仿宋" w:eastAsia="仿宋"/>
                <w:sz w:val="21"/>
                <w:szCs w:val="21"/>
              </w:rPr>
              <w:t>M</w:t>
            </w:r>
            <w:r>
              <w:rPr>
                <w:rFonts w:hint="eastAsia" w:ascii="仿宋" w:hAnsi="仿宋" w:eastAsia="仿宋"/>
                <w:sz w:val="21"/>
                <w:szCs w:val="21"/>
              </w:rPr>
              <w:t>分，最多扣1</w:t>
            </w:r>
            <w:r>
              <w:rPr>
                <w:rFonts w:ascii="仿宋" w:hAnsi="仿宋" w:eastAsia="仿宋"/>
                <w:sz w:val="21"/>
                <w:szCs w:val="21"/>
              </w:rPr>
              <w:t>0</w:t>
            </w:r>
            <w:r>
              <w:rPr>
                <w:rFonts w:hint="eastAsia" w:ascii="仿宋" w:hAnsi="仿宋" w:eastAsia="仿宋"/>
                <w:sz w:val="21"/>
                <w:szCs w:val="21"/>
              </w:rPr>
              <w:t>分；</w:t>
            </w:r>
          </w:p>
          <w:p>
            <w:pPr>
              <w:ind w:firstLine="420" w:firstLineChars="200"/>
              <w:rPr>
                <w:rFonts w:ascii="仿宋" w:hAnsi="仿宋" w:eastAsia="仿宋"/>
                <w:sz w:val="21"/>
                <w:szCs w:val="21"/>
              </w:rPr>
            </w:pPr>
            <w:r>
              <w:rPr>
                <w:rFonts w:hint="eastAsia" w:ascii="仿宋" w:hAnsi="仿宋" w:eastAsia="仿宋"/>
                <w:sz w:val="21"/>
                <w:szCs w:val="21"/>
              </w:rPr>
              <w:t>该项记分公式为：</w:t>
            </w:r>
            <w:r>
              <w:rPr>
                <w:rFonts w:ascii="仿宋" w:hAnsi="仿宋" w:eastAsia="仿宋"/>
                <w:sz w:val="21"/>
                <w:szCs w:val="21"/>
              </w:rPr>
              <w:t>K=50-[</w:t>
            </w:r>
            <w:r>
              <w:rPr>
                <w:rFonts w:hint="eastAsia" w:ascii="仿宋" w:hAnsi="仿宋" w:eastAsia="仿宋"/>
                <w:sz w:val="21"/>
                <w:szCs w:val="21"/>
              </w:rPr>
              <w:t>（</w:t>
            </w:r>
            <w:r>
              <w:rPr>
                <w:rFonts w:ascii="仿宋" w:hAnsi="仿宋" w:eastAsia="仿宋"/>
                <w:sz w:val="21"/>
                <w:szCs w:val="21"/>
              </w:rPr>
              <w:t>Q-q</w:t>
            </w:r>
            <w:r>
              <w:rPr>
                <w:rFonts w:hint="eastAsia" w:ascii="仿宋" w:hAnsi="仿宋" w:eastAsia="仿宋"/>
                <w:sz w:val="21"/>
                <w:szCs w:val="21"/>
              </w:rPr>
              <w:t>）</w:t>
            </w:r>
            <w:r>
              <w:rPr>
                <w:rFonts w:ascii="仿宋" w:hAnsi="仿宋" w:eastAsia="仿宋"/>
                <w:sz w:val="21"/>
                <w:szCs w:val="21"/>
              </w:rPr>
              <w:t>/Q]</w:t>
            </w:r>
            <w:r>
              <w:rPr>
                <w:rFonts w:hint="eastAsia" w:ascii="仿宋" w:hAnsi="仿宋" w:eastAsia="仿宋"/>
                <w:sz w:val="21"/>
                <w:szCs w:val="21"/>
              </w:rPr>
              <w:t>×</w:t>
            </w:r>
            <w:r>
              <w:rPr>
                <w:rFonts w:ascii="仿宋" w:hAnsi="仿宋" w:eastAsia="仿宋"/>
                <w:sz w:val="21"/>
                <w:szCs w:val="21"/>
              </w:rPr>
              <w:t>100</w:t>
            </w:r>
            <w:r>
              <w:rPr>
                <w:rFonts w:hint="eastAsia" w:ascii="仿宋" w:hAnsi="仿宋" w:eastAsia="仿宋"/>
                <w:sz w:val="21"/>
                <w:szCs w:val="21"/>
              </w:rPr>
              <w:t>×0.5</w:t>
            </w:r>
            <w:r>
              <w:rPr>
                <w:rFonts w:ascii="仿宋" w:hAnsi="仿宋" w:eastAsia="仿宋"/>
                <w:sz w:val="21"/>
                <w:szCs w:val="21"/>
              </w:rPr>
              <w:t xml:space="preserve">M  </w:t>
            </w: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0≤</w:t>
            </w:r>
            <w:r>
              <w:rPr>
                <w:rFonts w:ascii="仿宋" w:hAnsi="仿宋" w:eastAsia="仿宋"/>
                <w:sz w:val="21"/>
                <w:szCs w:val="21"/>
              </w:rPr>
              <w:t>K</w:t>
            </w:r>
            <w:r>
              <w:rPr>
                <w:rFonts w:hint="eastAsia" w:ascii="仿宋" w:hAnsi="仿宋" w:eastAsia="仿宋"/>
                <w:sz w:val="21"/>
                <w:szCs w:val="21"/>
              </w:rPr>
              <w:t>≤</w:t>
            </w:r>
            <w:r>
              <w:rPr>
                <w:rFonts w:ascii="仿宋" w:hAnsi="仿宋" w:eastAsia="仿宋"/>
                <w:sz w:val="21"/>
                <w:szCs w:val="21"/>
              </w:rPr>
              <w:t>50</w:t>
            </w:r>
            <w:r>
              <w:rPr>
                <w:rFonts w:hint="eastAsia"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）投标报价高于评标价的，每高于</w:t>
            </w:r>
            <w:r>
              <w:rPr>
                <w:rFonts w:ascii="仿宋" w:hAnsi="仿宋" w:eastAsia="仿宋"/>
                <w:sz w:val="21"/>
                <w:szCs w:val="21"/>
              </w:rPr>
              <w:t>1.0%</w:t>
            </w:r>
            <w:r>
              <w:rPr>
                <w:rFonts w:hint="eastAsia" w:ascii="仿宋" w:hAnsi="仿宋" w:eastAsia="仿宋"/>
                <w:sz w:val="21"/>
                <w:szCs w:val="21"/>
              </w:rPr>
              <w:t>扣</w:t>
            </w:r>
            <w:r>
              <w:rPr>
                <w:rFonts w:ascii="仿宋" w:hAnsi="仿宋" w:eastAsia="仿宋"/>
                <w:sz w:val="21"/>
                <w:szCs w:val="21"/>
              </w:rPr>
              <w:t>1M</w:t>
            </w:r>
            <w:r>
              <w:rPr>
                <w:rFonts w:hint="eastAsia" w:ascii="仿宋" w:hAnsi="仿宋" w:eastAsia="仿宋"/>
                <w:sz w:val="21"/>
                <w:szCs w:val="21"/>
              </w:rPr>
              <w:t>分，最多扣1</w:t>
            </w:r>
            <w:r>
              <w:rPr>
                <w:rFonts w:ascii="仿宋" w:hAnsi="仿宋" w:eastAsia="仿宋"/>
                <w:sz w:val="21"/>
                <w:szCs w:val="21"/>
              </w:rPr>
              <w:t>0</w:t>
            </w:r>
            <w:r>
              <w:rPr>
                <w:rFonts w:hint="eastAsia" w:ascii="仿宋" w:hAnsi="仿宋" w:eastAsia="仿宋"/>
                <w:sz w:val="21"/>
                <w:szCs w:val="21"/>
              </w:rPr>
              <w:t>分。</w:t>
            </w:r>
          </w:p>
          <w:p>
            <w:pPr>
              <w:ind w:firstLine="420" w:firstLineChars="200"/>
              <w:rPr>
                <w:rFonts w:ascii="仿宋" w:hAnsi="仿宋" w:eastAsia="仿宋"/>
                <w:sz w:val="21"/>
                <w:szCs w:val="21"/>
              </w:rPr>
            </w:pPr>
            <w:r>
              <w:rPr>
                <w:rFonts w:hint="eastAsia" w:ascii="仿宋" w:hAnsi="仿宋" w:eastAsia="仿宋"/>
                <w:sz w:val="21"/>
                <w:szCs w:val="21"/>
              </w:rPr>
              <w:t>该项记分公式为：</w:t>
            </w:r>
            <w:r>
              <w:rPr>
                <w:rFonts w:ascii="仿宋" w:hAnsi="仿宋" w:eastAsia="仿宋"/>
                <w:sz w:val="21"/>
                <w:szCs w:val="21"/>
              </w:rPr>
              <w:t>K=50+[</w:t>
            </w:r>
            <w:r>
              <w:rPr>
                <w:rFonts w:hint="eastAsia" w:ascii="仿宋" w:hAnsi="仿宋" w:eastAsia="仿宋"/>
                <w:sz w:val="21"/>
                <w:szCs w:val="21"/>
              </w:rPr>
              <w:t>（</w:t>
            </w:r>
            <w:r>
              <w:rPr>
                <w:rFonts w:ascii="仿宋" w:hAnsi="仿宋" w:eastAsia="仿宋"/>
                <w:sz w:val="21"/>
                <w:szCs w:val="21"/>
              </w:rPr>
              <w:t>Q-q</w:t>
            </w:r>
            <w:r>
              <w:rPr>
                <w:rFonts w:hint="eastAsia" w:ascii="仿宋" w:hAnsi="仿宋" w:eastAsia="仿宋"/>
                <w:sz w:val="21"/>
                <w:szCs w:val="21"/>
              </w:rPr>
              <w:t>）</w:t>
            </w:r>
            <w:r>
              <w:rPr>
                <w:rFonts w:ascii="仿宋" w:hAnsi="仿宋" w:eastAsia="仿宋"/>
                <w:sz w:val="21"/>
                <w:szCs w:val="21"/>
              </w:rPr>
              <w:t>/Q]</w:t>
            </w:r>
            <w:r>
              <w:rPr>
                <w:rFonts w:hint="eastAsia" w:ascii="仿宋" w:hAnsi="仿宋" w:eastAsia="仿宋"/>
                <w:sz w:val="21"/>
                <w:szCs w:val="21"/>
              </w:rPr>
              <w:t>×</w:t>
            </w:r>
            <w:r>
              <w:rPr>
                <w:rFonts w:ascii="仿宋" w:hAnsi="仿宋" w:eastAsia="仿宋"/>
                <w:sz w:val="21"/>
                <w:szCs w:val="21"/>
              </w:rPr>
              <w:t>100</w:t>
            </w:r>
            <w:r>
              <w:rPr>
                <w:rFonts w:hint="eastAsia" w:ascii="仿宋" w:hAnsi="仿宋" w:eastAsia="仿宋"/>
                <w:sz w:val="21"/>
                <w:szCs w:val="21"/>
              </w:rPr>
              <w:t>×</w:t>
            </w:r>
            <w:r>
              <w:rPr>
                <w:rFonts w:ascii="仿宋" w:hAnsi="仿宋" w:eastAsia="仿宋"/>
                <w:sz w:val="21"/>
                <w:szCs w:val="21"/>
              </w:rPr>
              <w:t xml:space="preserve">1M </w:t>
            </w: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0≤</w:t>
            </w:r>
            <w:r>
              <w:rPr>
                <w:rFonts w:ascii="仿宋" w:hAnsi="仿宋" w:eastAsia="仿宋"/>
                <w:sz w:val="21"/>
                <w:szCs w:val="21"/>
              </w:rPr>
              <w:t>K</w:t>
            </w:r>
            <w:r>
              <w:rPr>
                <w:rFonts w:hint="eastAsia" w:ascii="仿宋" w:hAnsi="仿宋" w:eastAsia="仿宋"/>
                <w:sz w:val="21"/>
                <w:szCs w:val="21"/>
              </w:rPr>
              <w:t>≤</w:t>
            </w:r>
            <w:r>
              <w:rPr>
                <w:rFonts w:ascii="仿宋" w:hAnsi="仿宋" w:eastAsia="仿宋"/>
                <w:sz w:val="21"/>
                <w:szCs w:val="21"/>
              </w:rPr>
              <w:t>50</w:t>
            </w:r>
            <w:r>
              <w:rPr>
                <w:rFonts w:hint="eastAsia"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以上式中：</w:t>
            </w:r>
            <w:r>
              <w:rPr>
                <w:rFonts w:ascii="仿宋" w:hAnsi="仿宋" w:eastAsia="仿宋"/>
                <w:sz w:val="21"/>
                <w:szCs w:val="21"/>
              </w:rPr>
              <w:t>q----</w:t>
            </w:r>
            <w:r>
              <w:rPr>
                <w:rFonts w:hint="eastAsia" w:ascii="仿宋" w:hAnsi="仿宋" w:eastAsia="仿宋"/>
                <w:sz w:val="21"/>
                <w:szCs w:val="21"/>
              </w:rPr>
              <w:t>投标报价（最终报价），</w:t>
            </w:r>
            <w:r>
              <w:rPr>
                <w:rFonts w:ascii="仿宋" w:hAnsi="仿宋" w:eastAsia="仿宋"/>
                <w:sz w:val="21"/>
                <w:szCs w:val="21"/>
              </w:rPr>
              <w:t>Q---</w:t>
            </w:r>
            <w:r>
              <w:rPr>
                <w:rFonts w:hint="eastAsia" w:ascii="仿宋" w:hAnsi="仿宋" w:eastAsia="仿宋"/>
                <w:sz w:val="21"/>
                <w:szCs w:val="21"/>
              </w:rPr>
              <w:t>评标基准价</w:t>
            </w:r>
          </w:p>
          <w:p>
            <w:pPr>
              <w:ind w:firstLine="1470" w:firstLineChars="700"/>
              <w:rPr>
                <w:rFonts w:ascii="仿宋" w:hAnsi="仿宋" w:eastAsia="仿宋"/>
                <w:sz w:val="21"/>
                <w:szCs w:val="21"/>
              </w:rPr>
            </w:pPr>
            <w:r>
              <w:rPr>
                <w:rFonts w:ascii="仿宋" w:hAnsi="仿宋" w:eastAsia="仿宋"/>
                <w:sz w:val="21"/>
                <w:szCs w:val="21"/>
              </w:rPr>
              <w:t>M---</w:t>
            </w:r>
            <w:r>
              <w:rPr>
                <w:rFonts w:hint="eastAsia" w:ascii="仿宋" w:hAnsi="仿宋" w:eastAsia="仿宋"/>
                <w:sz w:val="21"/>
                <w:szCs w:val="21"/>
              </w:rPr>
              <w:t>取值1。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754" w:type="dxa"/>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条款号</w:t>
            </w:r>
          </w:p>
        </w:tc>
        <w:tc>
          <w:tcPr>
            <w:tcW w:w="2120" w:type="dxa"/>
            <w:gridSpan w:val="3"/>
            <w:tcMar>
              <w:left w:w="57" w:type="dxa"/>
              <w:right w:w="57" w:type="dxa"/>
            </w:tcMar>
            <w:vAlign w:val="center"/>
          </w:tcPr>
          <w:p>
            <w:pPr>
              <w:jc w:val="center"/>
              <w:rPr>
                <w:rFonts w:ascii="仿宋" w:hAnsi="仿宋" w:eastAsia="仿宋"/>
                <w:b/>
                <w:sz w:val="21"/>
                <w:szCs w:val="21"/>
              </w:rPr>
            </w:pPr>
            <w:r>
              <w:rPr>
                <w:rFonts w:hint="eastAsia" w:ascii="仿宋" w:hAnsi="仿宋" w:eastAsia="仿宋"/>
                <w:b/>
                <w:sz w:val="21"/>
                <w:szCs w:val="21"/>
              </w:rPr>
              <w:t>条款内容</w:t>
            </w:r>
          </w:p>
        </w:tc>
        <w:tc>
          <w:tcPr>
            <w:tcW w:w="6860" w:type="dxa"/>
            <w:gridSpan w:val="2"/>
            <w:vMerge w:val="restart"/>
          </w:tcPr>
          <w:p>
            <w:pPr>
              <w:spacing w:after="0" w:line="360" w:lineRule="auto"/>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、监理工作大纲应包括以下几项基本内容：</w:t>
            </w:r>
          </w:p>
          <w:p>
            <w:pPr>
              <w:spacing w:after="0" w:line="360" w:lineRule="auto"/>
              <w:ind w:firstLine="420" w:firstLineChars="200"/>
              <w:rPr>
                <w:rFonts w:ascii="仿宋" w:hAnsi="仿宋" w:eastAsia="仿宋"/>
                <w:sz w:val="21"/>
                <w:szCs w:val="21"/>
              </w:rPr>
            </w:pPr>
            <w:r>
              <w:rPr>
                <w:rFonts w:hint="eastAsia" w:ascii="仿宋" w:hAnsi="仿宋" w:eastAsia="仿宋"/>
                <w:sz w:val="21"/>
                <w:szCs w:val="21"/>
              </w:rPr>
              <w:t>①工程质量控制</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2</w:t>
            </w:r>
            <w:r>
              <w:rPr>
                <w:rFonts w:hint="eastAsia" w:ascii="仿宋" w:hAnsi="仿宋" w:eastAsia="仿宋"/>
                <w:sz w:val="21"/>
                <w:szCs w:val="21"/>
              </w:rPr>
              <w:t>分；</w:t>
            </w:r>
          </w:p>
          <w:p>
            <w:pPr>
              <w:spacing w:after="0" w:line="360" w:lineRule="auto"/>
              <w:ind w:firstLine="420" w:firstLineChars="200"/>
              <w:rPr>
                <w:rFonts w:ascii="仿宋" w:hAnsi="仿宋" w:eastAsia="仿宋"/>
                <w:sz w:val="21"/>
                <w:szCs w:val="21"/>
              </w:rPr>
            </w:pPr>
            <w:r>
              <w:rPr>
                <w:rFonts w:hint="eastAsia" w:ascii="仿宋" w:hAnsi="仿宋" w:eastAsia="仿宋"/>
                <w:sz w:val="21"/>
                <w:szCs w:val="21"/>
              </w:rPr>
              <w:t>②工程进度控制</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2</w:t>
            </w:r>
            <w:r>
              <w:rPr>
                <w:rFonts w:hint="eastAsia" w:ascii="仿宋" w:hAnsi="仿宋" w:eastAsia="仿宋"/>
                <w:sz w:val="21"/>
                <w:szCs w:val="21"/>
              </w:rPr>
              <w:t>分；</w:t>
            </w:r>
          </w:p>
          <w:p>
            <w:pPr>
              <w:spacing w:after="0" w:line="360" w:lineRule="auto"/>
              <w:ind w:firstLine="420" w:firstLineChars="200"/>
              <w:rPr>
                <w:rFonts w:ascii="仿宋" w:hAnsi="仿宋" w:eastAsia="仿宋"/>
                <w:sz w:val="21"/>
                <w:szCs w:val="21"/>
              </w:rPr>
            </w:pPr>
            <w:r>
              <w:rPr>
                <w:rFonts w:hint="eastAsia" w:ascii="仿宋" w:hAnsi="仿宋" w:eastAsia="仿宋"/>
                <w:sz w:val="21"/>
                <w:szCs w:val="21"/>
              </w:rPr>
              <w:t>③工程投资控制</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2</w:t>
            </w:r>
            <w:r>
              <w:rPr>
                <w:rFonts w:hint="eastAsia" w:ascii="仿宋" w:hAnsi="仿宋" w:eastAsia="仿宋"/>
                <w:sz w:val="21"/>
                <w:szCs w:val="21"/>
              </w:rPr>
              <w:t>分；</w:t>
            </w:r>
          </w:p>
          <w:p>
            <w:pPr>
              <w:spacing w:after="0" w:line="360" w:lineRule="auto"/>
              <w:ind w:firstLine="420" w:firstLineChars="200"/>
              <w:rPr>
                <w:rFonts w:ascii="仿宋" w:hAnsi="仿宋" w:eastAsia="仿宋"/>
                <w:sz w:val="21"/>
                <w:szCs w:val="21"/>
              </w:rPr>
            </w:pPr>
            <w:r>
              <w:rPr>
                <w:rFonts w:hint="eastAsia" w:ascii="仿宋" w:hAnsi="仿宋" w:eastAsia="仿宋"/>
                <w:sz w:val="21"/>
                <w:szCs w:val="21"/>
              </w:rPr>
              <w:t>④安全、文明施工控制</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2</w:t>
            </w:r>
            <w:r>
              <w:rPr>
                <w:rFonts w:hint="eastAsia" w:ascii="仿宋" w:hAnsi="仿宋" w:eastAsia="仿宋"/>
                <w:sz w:val="21"/>
                <w:szCs w:val="21"/>
              </w:rPr>
              <w:t>分；</w:t>
            </w:r>
          </w:p>
          <w:p>
            <w:pPr>
              <w:spacing w:after="0" w:line="360" w:lineRule="auto"/>
              <w:ind w:firstLine="420" w:firstLineChars="200"/>
              <w:rPr>
                <w:rFonts w:ascii="仿宋" w:hAnsi="仿宋" w:eastAsia="仿宋"/>
                <w:sz w:val="21"/>
                <w:szCs w:val="21"/>
              </w:rPr>
            </w:pPr>
            <w:r>
              <w:rPr>
                <w:rFonts w:hint="eastAsia" w:ascii="仿宋" w:hAnsi="仿宋" w:eastAsia="仿宋" w:cs="宋体"/>
                <w:sz w:val="21"/>
                <w:szCs w:val="21"/>
              </w:rPr>
              <w:t>⑤</w:t>
            </w:r>
            <w:r>
              <w:rPr>
                <w:rFonts w:hint="eastAsia" w:ascii="仿宋" w:hAnsi="仿宋" w:eastAsia="仿宋"/>
                <w:sz w:val="21"/>
                <w:szCs w:val="21"/>
              </w:rPr>
              <w:t>工程协调管理</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2</w:t>
            </w:r>
            <w:r>
              <w:rPr>
                <w:rFonts w:hint="eastAsia" w:ascii="仿宋" w:hAnsi="仿宋" w:eastAsia="仿宋"/>
                <w:sz w:val="21"/>
                <w:szCs w:val="21"/>
              </w:rPr>
              <w:t>分；</w:t>
            </w:r>
          </w:p>
          <w:p>
            <w:pPr>
              <w:spacing w:after="0" w:line="360" w:lineRule="auto"/>
              <w:ind w:firstLine="420" w:firstLineChars="200"/>
              <w:rPr>
                <w:rFonts w:ascii="仿宋" w:hAnsi="仿宋" w:eastAsia="仿宋"/>
                <w:sz w:val="21"/>
                <w:szCs w:val="21"/>
              </w:rPr>
            </w:pPr>
            <w:r>
              <w:rPr>
                <w:rFonts w:hint="eastAsia" w:ascii="仿宋" w:hAnsi="仿宋" w:eastAsia="仿宋" w:cs="宋体"/>
                <w:sz w:val="21"/>
                <w:szCs w:val="21"/>
              </w:rPr>
              <w:t>⑥</w:t>
            </w:r>
            <w:r>
              <w:rPr>
                <w:rFonts w:hint="eastAsia" w:ascii="仿宋" w:hAnsi="仿宋" w:eastAsia="仿宋"/>
                <w:sz w:val="21"/>
                <w:szCs w:val="21"/>
              </w:rPr>
              <w:t>合同管理、信息管理、资料管理控制</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1</w:t>
            </w:r>
            <w:r>
              <w:rPr>
                <w:rFonts w:hint="eastAsia" w:ascii="仿宋" w:hAnsi="仿宋" w:eastAsia="仿宋"/>
                <w:sz w:val="21"/>
                <w:szCs w:val="21"/>
              </w:rPr>
              <w:t>分；</w:t>
            </w:r>
          </w:p>
          <w:p>
            <w:pPr>
              <w:spacing w:after="0" w:line="360" w:lineRule="auto"/>
              <w:ind w:firstLine="420" w:firstLineChars="200"/>
              <w:rPr>
                <w:rFonts w:ascii="仿宋" w:hAnsi="仿宋" w:eastAsia="仿宋"/>
                <w:sz w:val="21"/>
                <w:szCs w:val="21"/>
              </w:rPr>
            </w:pPr>
            <w:r>
              <w:rPr>
                <w:rFonts w:hint="eastAsia" w:ascii="仿宋" w:hAnsi="仿宋" w:eastAsia="仿宋"/>
                <w:sz w:val="21"/>
                <w:szCs w:val="21"/>
              </w:rPr>
              <w:t>⑦工程施工难点、重点及监理对策</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1</w:t>
            </w:r>
            <w:r>
              <w:rPr>
                <w:rFonts w:hint="eastAsia" w:ascii="仿宋" w:hAnsi="仿宋" w:eastAsia="仿宋"/>
                <w:sz w:val="21"/>
                <w:szCs w:val="21"/>
              </w:rPr>
              <w:t>分；</w:t>
            </w:r>
          </w:p>
          <w:p>
            <w:pPr>
              <w:spacing w:after="0" w:line="360" w:lineRule="auto"/>
              <w:ind w:firstLine="420" w:firstLineChars="200"/>
              <w:rPr>
                <w:rFonts w:ascii="仿宋" w:hAnsi="仿宋" w:eastAsia="仿宋"/>
                <w:sz w:val="21"/>
                <w:szCs w:val="21"/>
              </w:rPr>
            </w:pPr>
            <w:r>
              <w:rPr>
                <w:rFonts w:hint="eastAsia" w:ascii="仿宋" w:hAnsi="仿宋" w:eastAsia="仿宋"/>
                <w:sz w:val="21"/>
                <w:szCs w:val="21"/>
              </w:rPr>
              <w:t xml:space="preserve">⑧现场组织协调       协调内容全面，方法得当       </w:t>
            </w:r>
            <w:r>
              <w:rPr>
                <w:rFonts w:ascii="仿宋" w:hAnsi="仿宋" w:eastAsia="仿宋"/>
                <w:sz w:val="21"/>
                <w:szCs w:val="21"/>
              </w:rPr>
              <w:t>2</w:t>
            </w:r>
            <w:r>
              <w:rPr>
                <w:rFonts w:hint="eastAsia" w:ascii="仿宋" w:hAnsi="仿宋" w:eastAsia="仿宋"/>
                <w:sz w:val="21"/>
                <w:szCs w:val="21"/>
              </w:rPr>
              <w:t xml:space="preserve">分        </w:t>
            </w:r>
          </w:p>
          <w:p>
            <w:pPr>
              <w:spacing w:after="0" w:line="360" w:lineRule="auto"/>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、监理工作大纲的针对性</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2分；</w:t>
            </w:r>
          </w:p>
          <w:p>
            <w:pPr>
              <w:spacing w:after="0" w:line="360" w:lineRule="auto"/>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、监理工作大纲的完整性</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2分。</w:t>
            </w:r>
          </w:p>
          <w:p>
            <w:pPr>
              <w:spacing w:after="0" w:line="360" w:lineRule="auto"/>
              <w:rPr>
                <w:rFonts w:ascii="仿宋" w:hAnsi="仿宋" w:eastAsia="仿宋"/>
                <w:sz w:val="21"/>
                <w:szCs w:val="21"/>
              </w:rPr>
            </w:pPr>
            <w:r>
              <w:rPr>
                <w:rFonts w:hint="eastAsia" w:ascii="仿宋" w:hAnsi="仿宋" w:eastAsia="仿宋"/>
                <w:sz w:val="21"/>
                <w:szCs w:val="21"/>
              </w:rPr>
              <w:t xml:space="preserve">4、合理化建议  针对项目特点，提出合理可行的建议       </w:t>
            </w:r>
            <w:r>
              <w:rPr>
                <w:rFonts w:ascii="仿宋" w:hAnsi="仿宋" w:eastAsia="仿宋"/>
                <w:sz w:val="21"/>
                <w:szCs w:val="21"/>
              </w:rPr>
              <w:t>2</w:t>
            </w:r>
            <w:r>
              <w:rPr>
                <w:rFonts w:hint="eastAsia" w:ascii="仿宋" w:hAnsi="仿宋" w:eastAsia="仿宋"/>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4" w:hRule="atLeast"/>
          <w:jc w:val="center"/>
        </w:trPr>
        <w:tc>
          <w:tcPr>
            <w:tcW w:w="754" w:type="dxa"/>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.2.3</w:t>
            </w:r>
          </w:p>
        </w:tc>
        <w:tc>
          <w:tcPr>
            <w:tcW w:w="2120" w:type="dxa"/>
            <w:gridSpan w:val="3"/>
            <w:tcMar>
              <w:left w:w="57" w:type="dxa"/>
              <w:right w:w="57" w:type="dxa"/>
            </w:tcMar>
            <w:vAlign w:val="center"/>
          </w:tcPr>
          <w:p>
            <w:pPr>
              <w:jc w:val="center"/>
              <w:rPr>
                <w:rFonts w:ascii="仿宋" w:hAnsi="仿宋" w:eastAsia="仿宋"/>
                <w:sz w:val="21"/>
                <w:szCs w:val="21"/>
              </w:rPr>
            </w:pPr>
            <w:r>
              <w:rPr>
                <w:rFonts w:hint="eastAsia" w:ascii="仿宋" w:hAnsi="仿宋" w:eastAsia="仿宋"/>
                <w:sz w:val="21"/>
                <w:szCs w:val="21"/>
              </w:rPr>
              <w:t>技术标评审</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0分）</w:t>
            </w:r>
          </w:p>
        </w:tc>
        <w:tc>
          <w:tcPr>
            <w:tcW w:w="6860" w:type="dxa"/>
            <w:gridSpan w:val="2"/>
            <w:vMerge w:val="continue"/>
            <w:vAlign w:val="center"/>
          </w:tcPr>
          <w:p>
            <w:pPr>
              <w:jc w:val="center"/>
              <w:rPr>
                <w:rFonts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8" w:type="dxa"/>
            <w:gridSpan w:val="3"/>
            <w:vAlign w:val="center"/>
          </w:tcPr>
          <w:p>
            <w:pPr>
              <w:jc w:val="center"/>
              <w:rPr>
                <w:rFonts w:ascii="仿宋" w:hAnsi="仿宋" w:eastAsia="仿宋"/>
                <w:b/>
                <w:sz w:val="21"/>
                <w:szCs w:val="21"/>
              </w:rPr>
            </w:pPr>
            <w:r>
              <w:rPr>
                <w:rFonts w:hint="eastAsia" w:ascii="仿宋" w:hAnsi="仿宋" w:eastAsia="仿宋"/>
                <w:b/>
                <w:sz w:val="21"/>
                <w:szCs w:val="21"/>
              </w:rPr>
              <w:t>条款号</w:t>
            </w:r>
          </w:p>
        </w:tc>
        <w:tc>
          <w:tcPr>
            <w:tcW w:w="2494" w:type="dxa"/>
            <w:gridSpan w:val="2"/>
            <w:vAlign w:val="center"/>
          </w:tcPr>
          <w:p>
            <w:pPr>
              <w:jc w:val="center"/>
              <w:rPr>
                <w:rFonts w:ascii="仿宋" w:hAnsi="仿宋" w:eastAsia="仿宋"/>
                <w:b/>
                <w:sz w:val="21"/>
                <w:szCs w:val="21"/>
              </w:rPr>
            </w:pPr>
            <w:r>
              <w:rPr>
                <w:rFonts w:hint="eastAsia" w:ascii="仿宋" w:hAnsi="仿宋" w:eastAsia="仿宋"/>
                <w:b/>
                <w:sz w:val="21"/>
                <w:szCs w:val="21"/>
              </w:rPr>
              <w:t>评分因素</w:t>
            </w:r>
          </w:p>
        </w:tc>
        <w:tc>
          <w:tcPr>
            <w:tcW w:w="5192" w:type="dxa"/>
            <w:vAlign w:val="center"/>
          </w:tcPr>
          <w:p>
            <w:pPr>
              <w:jc w:val="center"/>
              <w:rPr>
                <w:rFonts w:ascii="仿宋" w:hAnsi="仿宋" w:eastAsia="仿宋"/>
                <w:b/>
                <w:sz w:val="21"/>
                <w:szCs w:val="21"/>
              </w:rPr>
            </w:pPr>
            <w:r>
              <w:rPr>
                <w:rFonts w:hint="eastAsia" w:ascii="仿宋" w:hAnsi="仿宋" w:eastAsia="仿宋"/>
                <w:b/>
                <w:sz w:val="21"/>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4" w:type="dxa"/>
            <w:vMerge w:val="restart"/>
            <w:vAlign w:val="center"/>
          </w:tcPr>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.2.4</w:t>
            </w:r>
          </w:p>
        </w:tc>
        <w:tc>
          <w:tcPr>
            <w:tcW w:w="1294" w:type="dxa"/>
            <w:gridSpan w:val="2"/>
            <w:vMerge w:val="restart"/>
            <w:vAlign w:val="center"/>
          </w:tcPr>
          <w:p>
            <w:pPr>
              <w:jc w:val="center"/>
              <w:rPr>
                <w:rFonts w:ascii="仿宋" w:hAnsi="仿宋" w:eastAsia="仿宋"/>
                <w:sz w:val="21"/>
                <w:szCs w:val="21"/>
              </w:rPr>
            </w:pPr>
            <w:r>
              <w:rPr>
                <w:rFonts w:hint="eastAsia" w:ascii="仿宋" w:hAnsi="仿宋" w:eastAsia="仿宋"/>
                <w:sz w:val="21"/>
                <w:szCs w:val="21"/>
              </w:rPr>
              <w:t>综合标评审（30分）</w:t>
            </w:r>
          </w:p>
        </w:tc>
        <w:tc>
          <w:tcPr>
            <w:tcW w:w="826" w:type="dxa"/>
            <w:vMerge w:val="restart"/>
            <w:vAlign w:val="center"/>
          </w:tcPr>
          <w:p>
            <w:pPr>
              <w:rPr>
                <w:rFonts w:ascii="仿宋" w:hAnsi="仿宋" w:eastAsia="仿宋"/>
                <w:sz w:val="21"/>
                <w:szCs w:val="21"/>
              </w:rPr>
            </w:pPr>
            <w:r>
              <w:rPr>
                <w:rFonts w:hint="eastAsia" w:ascii="仿宋" w:hAnsi="仿宋" w:eastAsia="仿宋"/>
                <w:sz w:val="21"/>
                <w:szCs w:val="21"/>
              </w:rPr>
              <w:t>班子配备12分</w:t>
            </w:r>
          </w:p>
        </w:tc>
        <w:tc>
          <w:tcPr>
            <w:tcW w:w="1668" w:type="dxa"/>
            <w:vAlign w:val="center"/>
          </w:tcPr>
          <w:p>
            <w:pPr>
              <w:rPr>
                <w:rFonts w:ascii="仿宋" w:hAnsi="仿宋" w:eastAsia="仿宋"/>
                <w:sz w:val="21"/>
                <w:szCs w:val="21"/>
              </w:rPr>
            </w:pPr>
            <w:r>
              <w:rPr>
                <w:rFonts w:hint="eastAsia" w:ascii="仿宋" w:hAnsi="仿宋" w:eastAsia="仿宋"/>
                <w:sz w:val="21"/>
                <w:szCs w:val="21"/>
              </w:rPr>
              <w:t>总监理工程师</w:t>
            </w:r>
          </w:p>
          <w:p>
            <w:pPr>
              <w:rPr>
                <w:rFonts w:ascii="仿宋" w:hAnsi="仿宋" w:eastAsia="仿宋"/>
                <w:sz w:val="21"/>
                <w:szCs w:val="21"/>
              </w:rPr>
            </w:pPr>
            <w:r>
              <w:rPr>
                <w:rFonts w:hint="eastAsia" w:ascii="仿宋" w:hAnsi="仿宋" w:eastAsia="仿宋"/>
                <w:sz w:val="21"/>
                <w:szCs w:val="21"/>
              </w:rPr>
              <w:t>6分</w:t>
            </w:r>
          </w:p>
        </w:tc>
        <w:tc>
          <w:tcPr>
            <w:tcW w:w="5192" w:type="dxa"/>
            <w:vAlign w:val="center"/>
          </w:tcPr>
          <w:p>
            <w:pPr>
              <w:ind w:firstLine="420" w:firstLineChars="200"/>
              <w:rPr>
                <w:rFonts w:ascii="仿宋" w:hAnsi="仿宋" w:eastAsia="仿宋"/>
                <w:sz w:val="21"/>
                <w:szCs w:val="21"/>
              </w:rPr>
            </w:pPr>
            <w:r>
              <w:rPr>
                <w:rFonts w:hint="eastAsia" w:ascii="仿宋" w:hAnsi="仿宋" w:eastAsia="仿宋"/>
                <w:sz w:val="21"/>
                <w:szCs w:val="21"/>
              </w:rPr>
              <w:t>总监理工程师资质等级满足招标文件要求，并明确只承担本工程的得6分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54" w:type="dxa"/>
            <w:vMerge w:val="continue"/>
            <w:vAlign w:val="center"/>
          </w:tcPr>
          <w:p>
            <w:pPr>
              <w:jc w:val="center"/>
              <w:rPr>
                <w:rFonts w:ascii="仿宋" w:hAnsi="仿宋" w:eastAsia="仿宋"/>
                <w:sz w:val="21"/>
                <w:szCs w:val="21"/>
              </w:rPr>
            </w:pPr>
          </w:p>
        </w:tc>
        <w:tc>
          <w:tcPr>
            <w:tcW w:w="1294" w:type="dxa"/>
            <w:gridSpan w:val="2"/>
            <w:vMerge w:val="continue"/>
            <w:vAlign w:val="center"/>
          </w:tcPr>
          <w:p>
            <w:pPr>
              <w:jc w:val="center"/>
              <w:rPr>
                <w:rFonts w:ascii="仿宋" w:hAnsi="仿宋" w:eastAsia="仿宋"/>
                <w:sz w:val="21"/>
                <w:szCs w:val="21"/>
              </w:rPr>
            </w:pPr>
          </w:p>
        </w:tc>
        <w:tc>
          <w:tcPr>
            <w:tcW w:w="826" w:type="dxa"/>
            <w:vMerge w:val="continue"/>
            <w:vAlign w:val="center"/>
          </w:tcPr>
          <w:p>
            <w:pPr>
              <w:rPr>
                <w:rFonts w:ascii="仿宋" w:hAnsi="仿宋" w:eastAsia="仿宋"/>
                <w:sz w:val="21"/>
                <w:szCs w:val="21"/>
              </w:rPr>
            </w:pPr>
          </w:p>
        </w:tc>
        <w:tc>
          <w:tcPr>
            <w:tcW w:w="1668" w:type="dxa"/>
            <w:vAlign w:val="center"/>
          </w:tcPr>
          <w:p>
            <w:pPr>
              <w:rPr>
                <w:rFonts w:ascii="仿宋" w:hAnsi="仿宋" w:eastAsia="仿宋"/>
                <w:sz w:val="21"/>
                <w:szCs w:val="21"/>
              </w:rPr>
            </w:pPr>
            <w:r>
              <w:rPr>
                <w:rFonts w:hint="eastAsia" w:ascii="仿宋" w:hAnsi="仿宋" w:eastAsia="仿宋"/>
                <w:sz w:val="21"/>
                <w:szCs w:val="21"/>
              </w:rPr>
              <w:t>总监理工程师经验6分</w:t>
            </w:r>
          </w:p>
        </w:tc>
        <w:tc>
          <w:tcPr>
            <w:tcW w:w="5192" w:type="dxa"/>
            <w:vAlign w:val="center"/>
          </w:tcPr>
          <w:p>
            <w:pPr>
              <w:ind w:firstLine="420" w:firstLineChars="200"/>
              <w:rPr>
                <w:rFonts w:ascii="仿宋" w:hAnsi="仿宋" w:eastAsia="仿宋"/>
                <w:sz w:val="21"/>
                <w:szCs w:val="21"/>
              </w:rPr>
            </w:pPr>
            <w:r>
              <w:rPr>
                <w:rFonts w:hint="eastAsia" w:ascii="仿宋" w:hAnsi="仿宋" w:eastAsia="仿宋"/>
                <w:sz w:val="21"/>
                <w:szCs w:val="21"/>
              </w:rPr>
              <w:t>总经理工程师近三年类似工程经历（附相关证明文件），酌情评分，该项最高得6分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54" w:type="dxa"/>
            <w:vMerge w:val="continue"/>
            <w:vAlign w:val="center"/>
          </w:tcPr>
          <w:p>
            <w:pPr>
              <w:jc w:val="center"/>
              <w:rPr>
                <w:rFonts w:ascii="仿宋" w:hAnsi="仿宋" w:eastAsia="仿宋"/>
                <w:sz w:val="21"/>
                <w:szCs w:val="21"/>
              </w:rPr>
            </w:pPr>
          </w:p>
        </w:tc>
        <w:tc>
          <w:tcPr>
            <w:tcW w:w="1294" w:type="dxa"/>
            <w:gridSpan w:val="2"/>
            <w:vMerge w:val="continue"/>
            <w:vAlign w:val="center"/>
          </w:tcPr>
          <w:p>
            <w:pPr>
              <w:jc w:val="center"/>
              <w:rPr>
                <w:rFonts w:ascii="仿宋" w:hAnsi="仿宋" w:eastAsia="仿宋"/>
                <w:sz w:val="21"/>
                <w:szCs w:val="21"/>
              </w:rPr>
            </w:pPr>
          </w:p>
        </w:tc>
        <w:tc>
          <w:tcPr>
            <w:tcW w:w="2494" w:type="dxa"/>
            <w:gridSpan w:val="2"/>
            <w:tcBorders>
              <w:top w:val="single" w:color="auto" w:sz="4" w:space="0"/>
            </w:tcBorders>
            <w:vAlign w:val="center"/>
          </w:tcPr>
          <w:p>
            <w:pPr>
              <w:rPr>
                <w:rFonts w:ascii="仿宋" w:hAnsi="仿宋" w:eastAsia="仿宋"/>
                <w:sz w:val="21"/>
                <w:szCs w:val="21"/>
              </w:rPr>
            </w:pPr>
            <w:r>
              <w:rPr>
                <w:rFonts w:hint="eastAsia" w:ascii="仿宋" w:hAnsi="仿宋" w:eastAsia="仿宋"/>
                <w:sz w:val="21"/>
                <w:szCs w:val="21"/>
              </w:rPr>
              <w:t>项目管理班子人员构成6分</w:t>
            </w:r>
          </w:p>
        </w:tc>
        <w:tc>
          <w:tcPr>
            <w:tcW w:w="5192" w:type="dxa"/>
            <w:vAlign w:val="center"/>
          </w:tcPr>
          <w:p>
            <w:pPr>
              <w:ind w:firstLine="420" w:firstLineChars="200"/>
              <w:rPr>
                <w:rFonts w:ascii="仿宋" w:hAnsi="仿宋" w:eastAsia="仿宋"/>
                <w:sz w:val="21"/>
                <w:szCs w:val="21"/>
              </w:rPr>
            </w:pPr>
            <w:r>
              <w:rPr>
                <w:rFonts w:hint="eastAsia" w:ascii="仿宋" w:hAnsi="仿宋" w:eastAsia="仿宋"/>
                <w:sz w:val="21"/>
                <w:szCs w:val="21"/>
              </w:rPr>
              <w:t>机构健全、人员齐备、专业配套、具备相关岗位证书；主要技术、经济、管理人员素质高、业绩优，酌情评分，该项最高得6分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4" w:type="dxa"/>
            <w:vMerge w:val="continue"/>
            <w:vAlign w:val="center"/>
          </w:tcPr>
          <w:p>
            <w:pPr>
              <w:jc w:val="center"/>
              <w:rPr>
                <w:rFonts w:ascii="仿宋" w:hAnsi="仿宋" w:eastAsia="仿宋"/>
                <w:sz w:val="21"/>
                <w:szCs w:val="21"/>
              </w:rPr>
            </w:pPr>
          </w:p>
        </w:tc>
        <w:tc>
          <w:tcPr>
            <w:tcW w:w="1294" w:type="dxa"/>
            <w:gridSpan w:val="2"/>
            <w:vMerge w:val="continue"/>
            <w:vAlign w:val="center"/>
          </w:tcPr>
          <w:p>
            <w:pPr>
              <w:jc w:val="center"/>
              <w:rPr>
                <w:rFonts w:ascii="仿宋" w:hAnsi="仿宋" w:eastAsia="仿宋"/>
                <w:sz w:val="21"/>
                <w:szCs w:val="21"/>
              </w:rPr>
            </w:pPr>
          </w:p>
        </w:tc>
        <w:tc>
          <w:tcPr>
            <w:tcW w:w="2494" w:type="dxa"/>
            <w:gridSpan w:val="2"/>
            <w:vAlign w:val="center"/>
          </w:tcPr>
          <w:p>
            <w:pPr>
              <w:rPr>
                <w:rFonts w:ascii="仿宋" w:hAnsi="仿宋" w:eastAsia="仿宋"/>
                <w:sz w:val="21"/>
                <w:szCs w:val="21"/>
              </w:rPr>
            </w:pPr>
            <w:r>
              <w:rPr>
                <w:rFonts w:hint="eastAsia" w:ascii="仿宋" w:hAnsi="仿宋" w:eastAsia="仿宋"/>
                <w:sz w:val="21"/>
                <w:szCs w:val="21"/>
              </w:rPr>
              <w:t>投标工期6分</w:t>
            </w:r>
          </w:p>
        </w:tc>
        <w:tc>
          <w:tcPr>
            <w:tcW w:w="5192" w:type="dxa"/>
            <w:vAlign w:val="center"/>
          </w:tcPr>
          <w:p>
            <w:pPr>
              <w:ind w:firstLine="420" w:firstLineChars="200"/>
              <w:rPr>
                <w:rFonts w:ascii="仿宋" w:hAnsi="仿宋" w:eastAsia="仿宋"/>
                <w:sz w:val="21"/>
                <w:szCs w:val="21"/>
              </w:rPr>
            </w:pPr>
            <w:r>
              <w:rPr>
                <w:rFonts w:hint="eastAsia" w:ascii="仿宋" w:hAnsi="仿宋" w:eastAsia="仿宋"/>
                <w:sz w:val="21"/>
                <w:szCs w:val="21"/>
              </w:rPr>
              <w:t>投标工期满足招标文件要求的得6分；不满足招标文件要求的，作废标处理。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54" w:type="dxa"/>
            <w:vMerge w:val="continue"/>
            <w:vAlign w:val="center"/>
          </w:tcPr>
          <w:p>
            <w:pPr>
              <w:jc w:val="center"/>
              <w:rPr>
                <w:rFonts w:ascii="仿宋" w:hAnsi="仿宋" w:eastAsia="仿宋"/>
                <w:sz w:val="21"/>
                <w:szCs w:val="21"/>
              </w:rPr>
            </w:pPr>
          </w:p>
        </w:tc>
        <w:tc>
          <w:tcPr>
            <w:tcW w:w="1294" w:type="dxa"/>
            <w:gridSpan w:val="2"/>
            <w:vMerge w:val="continue"/>
            <w:vAlign w:val="center"/>
          </w:tcPr>
          <w:p>
            <w:pPr>
              <w:jc w:val="center"/>
              <w:rPr>
                <w:rFonts w:ascii="仿宋" w:hAnsi="仿宋" w:eastAsia="仿宋"/>
                <w:sz w:val="21"/>
                <w:szCs w:val="21"/>
              </w:rPr>
            </w:pPr>
          </w:p>
        </w:tc>
        <w:tc>
          <w:tcPr>
            <w:tcW w:w="2494" w:type="dxa"/>
            <w:gridSpan w:val="2"/>
            <w:vAlign w:val="center"/>
          </w:tcPr>
          <w:p>
            <w:pPr>
              <w:rPr>
                <w:rFonts w:ascii="仿宋" w:hAnsi="仿宋" w:eastAsia="仿宋"/>
                <w:sz w:val="21"/>
                <w:szCs w:val="21"/>
              </w:rPr>
            </w:pPr>
            <w:r>
              <w:rPr>
                <w:rFonts w:hint="eastAsia" w:ascii="仿宋" w:hAnsi="仿宋" w:eastAsia="仿宋"/>
                <w:sz w:val="21"/>
                <w:szCs w:val="21"/>
              </w:rPr>
              <w:t>工程质量、文明施工、安全生产目标6分</w:t>
            </w:r>
          </w:p>
        </w:tc>
        <w:tc>
          <w:tcPr>
            <w:tcW w:w="5192" w:type="dxa"/>
            <w:vAlign w:val="center"/>
          </w:tcPr>
          <w:p>
            <w:pPr>
              <w:ind w:firstLine="420" w:firstLineChars="200"/>
              <w:rPr>
                <w:rFonts w:ascii="仿宋" w:hAnsi="仿宋" w:eastAsia="仿宋"/>
                <w:sz w:val="21"/>
                <w:szCs w:val="21"/>
              </w:rPr>
            </w:pPr>
            <w:r>
              <w:rPr>
                <w:rFonts w:hint="eastAsia" w:ascii="仿宋" w:hAnsi="仿宋" w:eastAsia="仿宋"/>
                <w:sz w:val="21"/>
                <w:szCs w:val="21"/>
              </w:rPr>
              <w:t>对工程质量、文明施工、安全生产管理目标严格要求并满足招标文件要求的得6分。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8" w:type="dxa"/>
            <w:gridSpan w:val="3"/>
            <w:vAlign w:val="center"/>
          </w:tcPr>
          <w:p>
            <w:pPr>
              <w:jc w:val="center"/>
              <w:rPr>
                <w:rFonts w:ascii="仿宋" w:hAnsi="仿宋" w:eastAsia="仿宋"/>
                <w:b/>
                <w:sz w:val="21"/>
                <w:szCs w:val="21"/>
              </w:rPr>
            </w:pPr>
            <w:r>
              <w:rPr>
                <w:rFonts w:hint="eastAsia" w:ascii="仿宋" w:hAnsi="仿宋" w:eastAsia="仿宋"/>
                <w:b/>
                <w:sz w:val="21"/>
                <w:szCs w:val="21"/>
              </w:rPr>
              <w:t>条款号</w:t>
            </w:r>
          </w:p>
        </w:tc>
        <w:tc>
          <w:tcPr>
            <w:tcW w:w="7686" w:type="dxa"/>
            <w:gridSpan w:val="3"/>
            <w:vAlign w:val="center"/>
          </w:tcPr>
          <w:p>
            <w:pPr>
              <w:jc w:val="center"/>
              <w:rPr>
                <w:rFonts w:ascii="仿宋" w:hAnsi="仿宋" w:eastAsia="仿宋"/>
                <w:b/>
                <w:sz w:val="21"/>
                <w:szCs w:val="21"/>
              </w:rPr>
            </w:pPr>
            <w:r>
              <w:rPr>
                <w:rFonts w:hint="eastAsia" w:ascii="仿宋" w:hAnsi="仿宋" w:eastAsia="仿宋"/>
                <w:b/>
                <w:sz w:val="21"/>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1" w:hRule="atLeast"/>
          <w:jc w:val="center"/>
        </w:trPr>
        <w:tc>
          <w:tcPr>
            <w:tcW w:w="754" w:type="dxa"/>
            <w:vAlign w:val="center"/>
          </w:tcPr>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.2.5</w:t>
            </w:r>
          </w:p>
        </w:tc>
        <w:tc>
          <w:tcPr>
            <w:tcW w:w="1294" w:type="dxa"/>
            <w:gridSpan w:val="2"/>
            <w:vAlign w:val="center"/>
          </w:tcPr>
          <w:p>
            <w:pPr>
              <w:jc w:val="center"/>
              <w:rPr>
                <w:rFonts w:ascii="仿宋" w:hAnsi="仿宋" w:eastAsia="仿宋"/>
                <w:sz w:val="21"/>
                <w:szCs w:val="21"/>
              </w:rPr>
            </w:pPr>
            <w:r>
              <w:rPr>
                <w:rFonts w:hint="eastAsia" w:ascii="仿宋" w:hAnsi="仿宋" w:eastAsia="仿宋"/>
                <w:sz w:val="21"/>
                <w:szCs w:val="21"/>
              </w:rPr>
              <w:t>计分办法</w:t>
            </w:r>
          </w:p>
        </w:tc>
        <w:tc>
          <w:tcPr>
            <w:tcW w:w="7686" w:type="dxa"/>
            <w:gridSpan w:val="3"/>
            <w:vAlign w:val="center"/>
          </w:tcPr>
          <w:p>
            <w:pPr>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、评标委员会成员按照招标文件和本办法上述有关规定，给各投标文件评分，并按下列公式确定各投标人的评定分数：</w:t>
            </w:r>
          </w:p>
          <w:p>
            <w:pPr>
              <w:ind w:firstLine="420" w:firstLineChars="200"/>
              <w:rPr>
                <w:rFonts w:ascii="仿宋" w:hAnsi="仿宋" w:eastAsia="仿宋"/>
                <w:sz w:val="21"/>
                <w:szCs w:val="21"/>
              </w:rPr>
            </w:pPr>
            <w:r>
              <w:rPr>
                <w:rFonts w:hint="eastAsia" w:ascii="仿宋" w:hAnsi="仿宋" w:eastAsia="仿宋"/>
                <w:sz w:val="21"/>
                <w:szCs w:val="21"/>
              </w:rPr>
              <w:t>评定分数</w:t>
            </w:r>
            <w:r>
              <w:rPr>
                <w:rFonts w:ascii="仿宋" w:hAnsi="仿宋" w:eastAsia="仿宋"/>
                <w:sz w:val="21"/>
                <w:szCs w:val="21"/>
              </w:rPr>
              <w:t>=</w:t>
            </w:r>
            <w:r>
              <w:rPr>
                <w:rFonts w:hint="eastAsia" w:ascii="仿宋" w:hAnsi="仿宋" w:eastAsia="仿宋"/>
                <w:sz w:val="21"/>
                <w:szCs w:val="21"/>
              </w:rPr>
              <w:t>技术标得分</w:t>
            </w:r>
            <w:r>
              <w:rPr>
                <w:rFonts w:ascii="仿宋" w:hAnsi="仿宋" w:eastAsia="仿宋"/>
                <w:sz w:val="21"/>
                <w:szCs w:val="21"/>
              </w:rPr>
              <w:t>+</w:t>
            </w:r>
            <w:r>
              <w:rPr>
                <w:rFonts w:hint="eastAsia" w:ascii="仿宋" w:hAnsi="仿宋" w:eastAsia="仿宋"/>
                <w:sz w:val="21"/>
                <w:szCs w:val="21"/>
              </w:rPr>
              <w:t>商务标得分</w:t>
            </w:r>
            <w:r>
              <w:rPr>
                <w:rFonts w:ascii="仿宋" w:hAnsi="仿宋" w:eastAsia="仿宋"/>
                <w:sz w:val="21"/>
                <w:szCs w:val="21"/>
              </w:rPr>
              <w:t>+</w:t>
            </w:r>
            <w:r>
              <w:rPr>
                <w:rFonts w:hint="eastAsia" w:ascii="仿宋" w:hAnsi="仿宋" w:eastAsia="仿宋"/>
                <w:sz w:val="21"/>
                <w:szCs w:val="21"/>
              </w:rPr>
              <w:t>综合标得分</w:t>
            </w:r>
          </w:p>
          <w:p>
            <w:pPr>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、各投标人投标的最终得分为各评委所评定分数的算术平均值。</w:t>
            </w:r>
          </w:p>
          <w:p>
            <w:pPr>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、各项统计、评分结果均按四舍五入方法精确到小数点后两位。</w:t>
            </w:r>
          </w:p>
          <w:p>
            <w:pPr>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pPr>
        <w:rPr>
          <w:rFonts w:ascii="仿宋" w:hAnsi="仿宋" w:eastAsia="仿宋"/>
          <w:sz w:val="24"/>
          <w:szCs w:val="24"/>
        </w:rPr>
      </w:pPr>
    </w:p>
    <w:p>
      <w:pPr>
        <w:rPr>
          <w:rFonts w:ascii="仿宋" w:hAnsi="仿宋" w:eastAsia="仿宋"/>
          <w:bCs/>
          <w:sz w:val="24"/>
          <w:szCs w:val="24"/>
        </w:rPr>
      </w:pPr>
      <w:r>
        <w:rPr>
          <w:rFonts w:hint="eastAsia" w:ascii="仿宋" w:hAnsi="仿宋" w:eastAsia="仿宋"/>
          <w:sz w:val="24"/>
          <w:szCs w:val="24"/>
        </w:rPr>
        <w:t>1.</w:t>
      </w:r>
      <w:r>
        <w:rPr>
          <w:rFonts w:ascii="仿宋" w:hAnsi="仿宋" w:eastAsia="仿宋"/>
          <w:sz w:val="24"/>
          <w:szCs w:val="24"/>
        </w:rPr>
        <w:t>评标方法</w:t>
      </w:r>
      <w:bookmarkEnd w:id="8"/>
      <w:bookmarkEnd w:id="9"/>
      <w:bookmarkEnd w:id="10"/>
      <w:r>
        <w:rPr>
          <w:rFonts w:hint="eastAsia" w:ascii="仿宋" w:hAnsi="仿宋" w:eastAsia="仿宋"/>
          <w:sz w:val="24"/>
          <w:szCs w:val="24"/>
        </w:rPr>
        <w:t>（正文部分）</w:t>
      </w:r>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根</w:t>
      </w:r>
      <w:r>
        <w:rPr>
          <w:rFonts w:hint="eastAsia" w:ascii="仿宋" w:hAnsi="仿宋" w:eastAsia="仿宋"/>
          <w:sz w:val="24"/>
          <w:szCs w:val="24"/>
        </w:rPr>
        <w:t>据《中华人民共和国招标投标法》、《湖北省招标投标综合管理办法》</w:t>
      </w:r>
      <w:r>
        <w:rPr>
          <w:rFonts w:ascii="仿宋" w:hAnsi="仿宋" w:eastAsia="仿宋" w:cs="Times New Roman"/>
          <w:sz w:val="24"/>
          <w:szCs w:val="24"/>
        </w:rPr>
        <w:t>，结合本工程实际情况，制定本办法。</w:t>
      </w:r>
    </w:p>
    <w:p>
      <w:pPr>
        <w:rPr>
          <w:rFonts w:ascii="仿宋" w:hAnsi="仿宋" w:eastAsia="仿宋"/>
          <w:bCs/>
          <w:sz w:val="24"/>
          <w:szCs w:val="24"/>
        </w:rPr>
      </w:pPr>
      <w:bookmarkStart w:id="11" w:name="_Toc420764375"/>
      <w:bookmarkStart w:id="12" w:name="_Toc420778142"/>
      <w:bookmarkStart w:id="13" w:name="_Toc448855852"/>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1评标组织机构</w:t>
      </w:r>
      <w:bookmarkEnd w:id="11"/>
      <w:bookmarkEnd w:id="12"/>
      <w:bookmarkEnd w:id="13"/>
    </w:p>
    <w:p>
      <w:pPr>
        <w:spacing w:after="0" w:line="360" w:lineRule="auto"/>
        <w:ind w:firstLine="480" w:firstLineChars="200"/>
        <w:jc w:val="both"/>
        <w:rPr>
          <w:rFonts w:ascii="仿宋" w:hAnsi="仿宋" w:eastAsia="仿宋" w:cs="宋体"/>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w:t>
      </w:r>
      <w:r>
        <w:rPr>
          <w:rFonts w:ascii="仿宋" w:hAnsi="仿宋" w:eastAsia="仿宋" w:cs="Times New Roman"/>
          <w:sz w:val="24"/>
          <w:szCs w:val="24"/>
        </w:rPr>
        <w:t>1</w:t>
      </w:r>
      <w:r>
        <w:rPr>
          <w:rFonts w:hint="eastAsia" w:ascii="仿宋" w:hAnsi="仿宋" w:eastAsia="仿宋" w:cs="宋体"/>
          <w:sz w:val="24"/>
          <w:szCs w:val="24"/>
        </w:rPr>
        <w:t>本次评标由招标人依法组建</w:t>
      </w:r>
      <w:r>
        <w:rPr>
          <w:rFonts w:ascii="仿宋" w:hAnsi="仿宋" w:eastAsia="仿宋" w:cs="宋体"/>
          <w:sz w:val="24"/>
          <w:szCs w:val="24"/>
        </w:rPr>
        <w:t>评标委员会，成员人数为5人以上</w:t>
      </w:r>
      <w:r>
        <w:rPr>
          <w:rFonts w:hint="eastAsia" w:ascii="仿宋" w:hAnsi="仿宋" w:eastAsia="仿宋" w:cs="宋体"/>
          <w:sz w:val="24"/>
          <w:szCs w:val="24"/>
        </w:rPr>
        <w:t>（或5人）</w:t>
      </w:r>
      <w:r>
        <w:rPr>
          <w:rFonts w:ascii="仿宋" w:hAnsi="仿宋" w:eastAsia="仿宋" w:cs="宋体"/>
          <w:sz w:val="24"/>
          <w:szCs w:val="24"/>
        </w:rPr>
        <w:t>的单数，</w:t>
      </w:r>
      <w:r>
        <w:rPr>
          <w:rFonts w:hint="eastAsia" w:ascii="仿宋" w:hAnsi="仿宋" w:eastAsia="仿宋" w:cs="宋体"/>
          <w:sz w:val="24"/>
          <w:szCs w:val="24"/>
        </w:rPr>
        <w:t>由招标人内部资深工程管理人员和财务经济管理人员组成</w:t>
      </w:r>
      <w:r>
        <w:rPr>
          <w:rFonts w:ascii="仿宋" w:hAnsi="仿宋" w:eastAsia="仿宋" w:cs="宋体"/>
          <w:sz w:val="24"/>
          <w:szCs w:val="24"/>
        </w:rPr>
        <w:t>。</w:t>
      </w:r>
    </w:p>
    <w:p>
      <w:pPr>
        <w:autoSpaceDE w:val="0"/>
        <w:autoSpaceDN w:val="0"/>
        <w:spacing w:after="0" w:line="360" w:lineRule="auto"/>
        <w:ind w:right="-109" w:firstLine="480" w:firstLineChars="200"/>
        <w:jc w:val="both"/>
        <w:rPr>
          <w:rFonts w:ascii="仿宋" w:hAnsi="仿宋" w:eastAsia="仿宋" w:cs="MingLiU"/>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1.2</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员会按照</w:t>
      </w:r>
      <w:r>
        <w:rPr>
          <w:rFonts w:hint="eastAsia" w:ascii="仿宋" w:hAnsi="仿宋" w:eastAsia="仿宋" w:cs="MingLiU"/>
          <w:spacing w:val="1"/>
          <w:sz w:val="24"/>
          <w:szCs w:val="24"/>
        </w:rPr>
        <w:t>得分</w:t>
      </w:r>
      <w:r>
        <w:rPr>
          <w:rFonts w:hint="eastAsia" w:ascii="仿宋" w:hAnsi="仿宋" w:eastAsia="仿宋" w:cs="MingLiU"/>
          <w:sz w:val="24"/>
          <w:szCs w:val="24"/>
        </w:rPr>
        <w:t>由高到低的顺序推荐3名中标候选人。</w:t>
      </w:r>
    </w:p>
    <w:p>
      <w:pPr>
        <w:spacing w:after="0" w:line="360" w:lineRule="auto"/>
        <w:ind w:firstLine="484" w:firstLineChars="200"/>
        <w:jc w:val="both"/>
        <w:rPr>
          <w:rFonts w:ascii="仿宋" w:hAnsi="仿宋" w:eastAsia="仿宋" w:cs="宋体"/>
          <w:sz w:val="24"/>
          <w:szCs w:val="24"/>
        </w:rPr>
      </w:pPr>
      <w:r>
        <w:rPr>
          <w:rFonts w:hint="eastAsia" w:ascii="仿宋" w:hAnsi="仿宋" w:eastAsia="仿宋" w:cs="Times New Roman"/>
          <w:spacing w:val="1"/>
          <w:sz w:val="24"/>
          <w:szCs w:val="24"/>
        </w:rPr>
        <w:t>1.1.3</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员会完成评标后，向招标人提交书面评标报告后自动解散。</w:t>
      </w:r>
    </w:p>
    <w:p>
      <w:pPr>
        <w:rPr>
          <w:rFonts w:ascii="仿宋" w:hAnsi="仿宋" w:eastAsia="仿宋"/>
          <w:bCs/>
          <w:sz w:val="24"/>
          <w:szCs w:val="24"/>
        </w:rPr>
      </w:pPr>
      <w:bookmarkStart w:id="14" w:name="_Toc420778143"/>
      <w:bookmarkStart w:id="15" w:name="_Toc420764376"/>
      <w:bookmarkStart w:id="16" w:name="_Toc448855853"/>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2评标原则</w:t>
      </w:r>
      <w:bookmarkEnd w:id="14"/>
      <w:bookmarkEnd w:id="15"/>
      <w:bookmarkEnd w:id="16"/>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sz w:val="24"/>
          <w:szCs w:val="24"/>
        </w:rPr>
        <w:t>遵循</w:t>
      </w:r>
      <w:r>
        <w:rPr>
          <w:rFonts w:hint="eastAsia" w:ascii="仿宋" w:hAnsi="仿宋" w:eastAsia="仿宋" w:cs="Times New Roman"/>
          <w:sz w:val="24"/>
          <w:szCs w:val="24"/>
        </w:rPr>
        <w:t>公平、公正、科学、择优的原则。</w:t>
      </w:r>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(2)依据：</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a</w:t>
      </w:r>
      <w:r>
        <w:rPr>
          <w:rFonts w:hint="eastAsia" w:ascii="仿宋" w:hAnsi="仿宋" w:eastAsia="仿宋" w:cs="Times New Roman"/>
          <w:sz w:val="24"/>
          <w:szCs w:val="24"/>
        </w:rPr>
        <w:t>招标文件及招标人的补充通知；</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b</w:t>
      </w:r>
      <w:r>
        <w:rPr>
          <w:rFonts w:hint="eastAsia" w:ascii="仿宋" w:hAnsi="仿宋" w:eastAsia="仿宋" w:cs="Times New Roman"/>
          <w:sz w:val="24"/>
          <w:szCs w:val="24"/>
        </w:rPr>
        <w:t>有效的投标文件及评标要求澄清的文件；</w:t>
      </w:r>
    </w:p>
    <w:p>
      <w:pPr>
        <w:rPr>
          <w:rFonts w:ascii="仿宋" w:hAnsi="仿宋" w:eastAsia="仿宋"/>
          <w:bCs/>
          <w:sz w:val="24"/>
          <w:szCs w:val="24"/>
        </w:rPr>
      </w:pPr>
      <w:bookmarkStart w:id="17" w:name="_Toc420764377"/>
      <w:bookmarkStart w:id="18" w:name="_Toc420778144"/>
      <w:bookmarkStart w:id="19" w:name="_Toc448855854"/>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3 评标程序</w:t>
      </w:r>
      <w:bookmarkEnd w:id="17"/>
      <w:bookmarkEnd w:id="18"/>
      <w:bookmarkEnd w:id="19"/>
    </w:p>
    <w:p>
      <w:pPr>
        <w:spacing w:after="0" w:line="360" w:lineRule="auto"/>
        <w:ind w:left="1"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评标按两个阶段进行，即初步评审和详细评审。</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(一) 评标准备</w:t>
      </w:r>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评标委员会成员研究招标文件，熟悉评标办法，掌握评标程序、标准和方法，编制供评标使用的相应表格。</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(二)</w:t>
      </w:r>
      <w:r>
        <w:rPr>
          <w:rFonts w:ascii="仿宋" w:hAnsi="仿宋" w:eastAsia="仿宋" w:cs="Times New Roman"/>
          <w:sz w:val="24"/>
          <w:szCs w:val="24"/>
        </w:rPr>
        <w:t xml:space="preserve"> </w:t>
      </w:r>
      <w:r>
        <w:rPr>
          <w:rFonts w:hint="eastAsia" w:ascii="仿宋" w:hAnsi="仿宋" w:eastAsia="仿宋" w:cs="Times New Roman"/>
          <w:sz w:val="24"/>
          <w:szCs w:val="24"/>
        </w:rPr>
        <w:t>初步评审</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(1)</w:t>
      </w:r>
      <w:r>
        <w:rPr>
          <w:rFonts w:ascii="仿宋" w:hAnsi="仿宋" w:eastAsia="仿宋" w:cs="Times New Roman"/>
          <w:b/>
          <w:sz w:val="24"/>
          <w:szCs w:val="24"/>
        </w:rPr>
        <w:t>初审</w:t>
      </w:r>
    </w:p>
    <w:p>
      <w:pPr>
        <w:spacing w:after="0" w:line="360" w:lineRule="auto"/>
        <w:ind w:firstLine="480" w:firstLineChars="200"/>
        <w:jc w:val="both"/>
        <w:rPr>
          <w:rFonts w:ascii="仿宋" w:hAnsi="仿宋" w:eastAsia="仿宋" w:cs="Times New Roman"/>
          <w:sz w:val="24"/>
          <w:szCs w:val="24"/>
        </w:rPr>
      </w:pPr>
      <w:r>
        <w:rPr>
          <w:rFonts w:ascii="仿宋" w:hAnsi="仿宋" w:eastAsia="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(2)</w:t>
      </w:r>
      <w:r>
        <w:rPr>
          <w:rFonts w:hint="eastAsia" w:ascii="仿宋" w:hAnsi="仿宋" w:eastAsia="仿宋"/>
          <w:b/>
          <w:sz w:val="24"/>
          <w:szCs w:val="24"/>
        </w:rPr>
        <w:t>投标文件响应性检查</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评标委员会应当审查每一投标文件是否对招标文件提出的所有要求和条件作出实质性响应。投标文件有重大偏差的，视为未能对招标文件作出实质性响应。</w:t>
      </w:r>
    </w:p>
    <w:p>
      <w:pPr>
        <w:spacing w:after="0" w:line="360" w:lineRule="auto"/>
        <w:ind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所谓重大偏差是指下列情况之一：</w:t>
      </w:r>
    </w:p>
    <w:p>
      <w:pPr>
        <w:spacing w:after="0" w:line="360" w:lineRule="auto"/>
        <w:ind w:left="416"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①对投标的工程范围和工作内容有实质性的偏离；</w:t>
      </w:r>
    </w:p>
    <w:p>
      <w:pPr>
        <w:spacing w:after="0" w:line="360" w:lineRule="auto"/>
        <w:ind w:left="416"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②投标文件载明的招标项目完成期限超过招标文件规定的期限；</w:t>
      </w:r>
    </w:p>
    <w:p>
      <w:pPr>
        <w:spacing w:after="0" w:line="360" w:lineRule="auto"/>
        <w:ind w:left="416"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③对工程质量或使用性能产生不利影响；</w:t>
      </w:r>
    </w:p>
    <w:p>
      <w:pPr>
        <w:spacing w:after="0" w:line="360" w:lineRule="auto"/>
        <w:ind w:left="416"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④对合同中规定的双方的权利和义务作实质性修改；</w:t>
      </w:r>
    </w:p>
    <w:p>
      <w:pPr>
        <w:spacing w:after="0" w:line="360" w:lineRule="auto"/>
        <w:ind w:left="416"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⑤投标文件附有招标人不能接受的条件；</w:t>
      </w:r>
    </w:p>
    <w:p>
      <w:pPr>
        <w:spacing w:after="0" w:line="360" w:lineRule="auto"/>
        <w:ind w:left="416"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⑥不符合招标文件中规定的其它实质性要求。</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(3)无效投标文件</w:t>
      </w:r>
    </w:p>
    <w:p>
      <w:pPr>
        <w:spacing w:after="0" w:line="360" w:lineRule="auto"/>
        <w:ind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发包人对有下列情况之一的投标文件，可以拒绝或按无效投标文件处理：</w:t>
      </w:r>
    </w:p>
    <w:p>
      <w:pPr>
        <w:tabs>
          <w:tab w:val="left" w:pos="1040"/>
          <w:tab w:val="left" w:pos="1440"/>
        </w:tabs>
        <w:spacing w:after="0" w:line="360" w:lineRule="auto"/>
        <w:ind w:left="218" w:leftChars="99"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①有本条(2)</w:t>
      </w:r>
      <w:r>
        <w:rPr>
          <w:rFonts w:ascii="仿宋" w:hAnsi="仿宋" w:eastAsia="仿宋" w:cs="Times New Roman"/>
          <w:bCs/>
          <w:sz w:val="24"/>
          <w:szCs w:val="24"/>
        </w:rPr>
        <w:t>款所列重大偏差或保留情况之一的；</w:t>
      </w:r>
    </w:p>
    <w:p>
      <w:pPr>
        <w:tabs>
          <w:tab w:val="left" w:pos="1440"/>
        </w:tabs>
        <w:spacing w:after="0" w:line="360" w:lineRule="auto"/>
        <w:ind w:left="218" w:leftChars="99"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②逾期送达的标书；</w:t>
      </w:r>
    </w:p>
    <w:p>
      <w:pPr>
        <w:tabs>
          <w:tab w:val="left" w:pos="1440"/>
        </w:tabs>
        <w:spacing w:after="0" w:line="360" w:lineRule="auto"/>
        <w:ind w:left="218" w:leftChars="99"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③无单位盖章并无法定代表人或法定代表人授权的代理人签字或盖章的；</w:t>
      </w:r>
    </w:p>
    <w:p>
      <w:pPr>
        <w:tabs>
          <w:tab w:val="left" w:pos="1440"/>
        </w:tabs>
        <w:spacing w:after="0" w:line="360" w:lineRule="auto"/>
        <w:ind w:left="218" w:leftChars="99"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④投标人的法定代表人或委托代理人不参加开标会议的；</w:t>
      </w:r>
    </w:p>
    <w:p>
      <w:pPr>
        <w:tabs>
          <w:tab w:val="left" w:pos="1440"/>
        </w:tabs>
        <w:spacing w:after="0" w:line="360" w:lineRule="auto"/>
        <w:ind w:left="218" w:leftChars="99"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⑤在评标过程中，评标委员会发现投标人以他人名义投标、串通投标、以行贿手段谋取中标或者以弄虚作假方式投标的；</w:t>
      </w:r>
    </w:p>
    <w:p>
      <w:pPr>
        <w:tabs>
          <w:tab w:val="left" w:pos="1440"/>
        </w:tabs>
        <w:spacing w:after="0" w:line="360" w:lineRule="auto"/>
        <w:ind w:left="218" w:leftChars="99"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⑥投标人递交两份或多份内容不同的投标文件，或在一份投标文件中对同一招标项目报有两个或多个报价，且未声明哪一个有效，按招标文件规定提交备选投标方案的除外；</w:t>
      </w:r>
    </w:p>
    <w:p>
      <w:pPr>
        <w:tabs>
          <w:tab w:val="left" w:pos="1440"/>
        </w:tabs>
        <w:spacing w:after="0" w:line="360" w:lineRule="auto"/>
        <w:ind w:left="218" w:leftChars="99" w:firstLine="480" w:firstLineChars="200"/>
        <w:jc w:val="both"/>
        <w:rPr>
          <w:rFonts w:ascii="仿宋" w:hAnsi="仿宋" w:eastAsia="仿宋" w:cs="Times New Roman"/>
          <w:bCs/>
          <w:sz w:val="24"/>
          <w:szCs w:val="24"/>
        </w:rPr>
      </w:pPr>
      <w:r>
        <w:rPr>
          <w:rFonts w:hint="eastAsia" w:ascii="仿宋" w:hAnsi="仿宋" w:eastAsia="仿宋" w:cs="Times New Roman"/>
          <w:bCs/>
          <w:sz w:val="24"/>
          <w:szCs w:val="24"/>
        </w:rPr>
        <w:t>⑦投标人资格条件不符合国家有关规定和招标文件的要求，或拒不按要求对投标文件进行澄清、说明或者补正的。</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(4)</w:t>
      </w:r>
      <w:r>
        <w:rPr>
          <w:rFonts w:ascii="仿宋" w:hAnsi="仿宋" w:eastAsia="仿宋" w:cs="Times New Roman"/>
          <w:b/>
          <w:sz w:val="24"/>
          <w:szCs w:val="24"/>
        </w:rPr>
        <w:t>投标文件的澄清</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(5)</w:t>
      </w:r>
      <w:r>
        <w:rPr>
          <w:rFonts w:ascii="仿宋" w:hAnsi="仿宋" w:eastAsia="仿宋" w:cs="Times New Roman"/>
          <w:b/>
          <w:sz w:val="24"/>
          <w:szCs w:val="24"/>
        </w:rPr>
        <w:t>算术错误的改正</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对实质上响应招标文件要求的投标文件，发包人将检查其报价是否有算术错误。对于算术错误，发包人有权要求投标人进行改正，改正错误的原则为：</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③用数字表示的数额与用文字表示的数额不一致时，以文字数额为准。</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发包人将按上述规定的原则，要求投标人改正报价中的算术错误，改正后的投标报价汇总表须经发包人和投标人共同确认。</w:t>
      </w:r>
    </w:p>
    <w:p>
      <w:pPr>
        <w:rPr>
          <w:rFonts w:ascii="仿宋" w:hAnsi="仿宋" w:eastAsia="仿宋" w:cs="Times New Roman"/>
          <w:sz w:val="24"/>
        </w:rPr>
      </w:pPr>
    </w:p>
    <w:p/>
    <w:p>
      <w:pPr>
        <w:pStyle w:val="2"/>
        <w:jc w:val="center"/>
        <w:rPr>
          <w:rFonts w:ascii="宋体" w:hAnsi="宋体"/>
          <w:b w:val="0"/>
          <w:sz w:val="28"/>
          <w:szCs w:val="28"/>
        </w:rPr>
      </w:pPr>
      <w:bookmarkStart w:id="20" w:name="_Toc504125545"/>
      <w:r>
        <w:rPr>
          <w:rFonts w:hint="eastAsia" w:ascii="宋体" w:hAnsi="宋体"/>
          <w:sz w:val="28"/>
          <w:szCs w:val="28"/>
        </w:rPr>
        <w:t>第四章  谈判响应文件格式</w:t>
      </w:r>
      <w:bookmarkEnd w:id="20"/>
    </w:p>
    <w:p>
      <w:pPr>
        <w:spacing w:line="220" w:lineRule="atLeast"/>
        <w:rPr>
          <w:rFonts w:ascii="宋体" w:hAnsi="宋体" w:eastAsia="宋体"/>
          <w:sz w:val="24"/>
          <w:szCs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恩施大峡谷地缝景区7.17特大暴雨灾后治理、恢复工程</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监理</w:t>
      </w:r>
      <w:r>
        <w:rPr>
          <w:rFonts w:hint="eastAsia" w:ascii="宋体" w:hAnsi="宋体" w:eastAsia="宋体"/>
          <w:b/>
          <w:sz w:val="32"/>
          <w:szCs w:val="28"/>
        </w:rPr>
        <w:t>竞争性谈判</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rPr>
          <w:rFonts w:ascii="宋体" w:hAnsi="宋体" w:eastAsia="宋体"/>
          <w:sz w:val="24"/>
          <w:szCs w:val="24"/>
        </w:rPr>
      </w:pPr>
      <w:r>
        <w:rPr>
          <w:rFonts w:hint="eastAsia" w:ascii="宋体" w:hAnsi="宋体" w:eastAsia="宋体"/>
          <w:sz w:val="24"/>
          <w:szCs w:val="24"/>
        </w:rPr>
        <w:t>2.截取挂网公告放于响应文件首页</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挂网公告</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3.投标报价文件封面格式</w:t>
      </w:r>
    </w:p>
    <w:p>
      <w:pPr>
        <w:spacing w:after="0" w:line="360" w:lineRule="auto"/>
        <w:jc w:val="center"/>
        <w:rPr>
          <w:rFonts w:ascii="宋体" w:hAnsi="宋体" w:eastAsia="宋体"/>
          <w:b/>
          <w:sz w:val="32"/>
          <w:szCs w:val="32"/>
        </w:rPr>
      </w:pPr>
    </w:p>
    <w:p>
      <w:pPr>
        <w:spacing w:line="220" w:lineRule="atLeast"/>
        <w:jc w:val="center"/>
        <w:rPr>
          <w:rFonts w:ascii="微软雅黑" w:hAnsi="微软雅黑"/>
          <w:sz w:val="28"/>
          <w:szCs w:val="32"/>
        </w:rPr>
      </w:pPr>
      <w:r>
        <w:rPr>
          <w:rFonts w:hint="eastAsia" w:ascii="微软雅黑" w:hAnsi="微软雅黑"/>
          <w:sz w:val="28"/>
          <w:szCs w:val="32"/>
        </w:rPr>
        <w:t>恩施大峡谷地缝景区7.17特大暴雨灾后治理、恢复工程监理</w:t>
      </w:r>
    </w:p>
    <w:p>
      <w:pPr>
        <w:spacing w:after="0" w:line="360" w:lineRule="auto"/>
        <w:jc w:val="center"/>
        <w:rPr>
          <w:rFonts w:ascii="微软雅黑" w:hAnsi="微软雅黑"/>
          <w:b/>
          <w:sz w:val="28"/>
          <w:szCs w:val="28"/>
        </w:rPr>
      </w:pPr>
      <w:r>
        <w:rPr>
          <w:rFonts w:hint="eastAsia" w:ascii="微软雅黑" w:hAnsi="微软雅黑"/>
          <w:sz w:val="28"/>
          <w:szCs w:val="28"/>
        </w:rPr>
        <w:t>竞争性谈判响应文件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jc w:val="center"/>
        <w:rPr>
          <w:rFonts w:ascii="微软雅黑" w:hAnsi="微软雅黑"/>
          <w:sz w:val="28"/>
          <w:szCs w:val="28"/>
        </w:rPr>
      </w:pPr>
      <w:r>
        <w:rPr>
          <w:rFonts w:hint="eastAsia" w:ascii="微软雅黑" w:hAnsi="微软雅黑"/>
          <w:sz w:val="28"/>
          <w:szCs w:val="28"/>
        </w:rPr>
        <w:t>报价文件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投标人：（全称并盖章）</w:t>
      </w:r>
    </w:p>
    <w:p>
      <w:pPr>
        <w:spacing w:line="220" w:lineRule="atLeast"/>
        <w:rPr>
          <w:rFonts w:ascii="微软雅黑" w:hAnsi="微软雅黑"/>
          <w:sz w:val="28"/>
          <w:szCs w:val="28"/>
        </w:rPr>
      </w:pPr>
      <w:r>
        <w:rPr>
          <w:rFonts w:hint="eastAsia" w:ascii="微软雅黑" w:hAnsi="微软雅黑"/>
          <w:sz w:val="28"/>
          <w:szCs w:val="28"/>
        </w:rPr>
        <w:t>法定代表人或其委托代理人：（签字）</w:t>
      </w:r>
    </w:p>
    <w:p>
      <w:pPr>
        <w:spacing w:after="0" w:line="360" w:lineRule="auto"/>
        <w:ind w:firstLine="3640" w:firstLineChars="1300"/>
        <w:rPr>
          <w:rFonts w:ascii="微软雅黑" w:hAnsi="微软雅黑"/>
          <w:sz w:val="28"/>
          <w:szCs w:val="28"/>
        </w:rPr>
      </w:pPr>
      <w:r>
        <w:rPr>
          <w:rFonts w:hint="eastAsia" w:ascii="微软雅黑" w:hAnsi="微软雅黑"/>
          <w:sz w:val="28"/>
          <w:szCs w:val="28"/>
          <w:u w:val="single"/>
        </w:rPr>
        <w:t xml:space="preserve">          </w:t>
      </w:r>
      <w:r>
        <w:rPr>
          <w:rFonts w:hint="eastAsia" w:ascii="微软雅黑" w:hAnsi="微软雅黑"/>
          <w:sz w:val="28"/>
          <w:szCs w:val="28"/>
        </w:rPr>
        <w:t>年</w:t>
      </w:r>
      <w:r>
        <w:rPr>
          <w:rFonts w:hint="eastAsia" w:ascii="微软雅黑" w:hAnsi="微软雅黑"/>
          <w:sz w:val="28"/>
          <w:szCs w:val="28"/>
          <w:u w:val="single"/>
        </w:rPr>
        <w:t xml:space="preserve">     </w:t>
      </w:r>
      <w:r>
        <w:rPr>
          <w:rFonts w:hint="eastAsia" w:ascii="微软雅黑" w:hAnsi="微软雅黑"/>
          <w:sz w:val="28"/>
          <w:szCs w:val="28"/>
        </w:rPr>
        <w:t>月</w:t>
      </w:r>
      <w:r>
        <w:rPr>
          <w:rFonts w:hint="eastAsia" w:ascii="微软雅黑" w:hAnsi="微软雅黑"/>
          <w:sz w:val="28"/>
          <w:szCs w:val="28"/>
          <w:u w:val="single"/>
        </w:rPr>
        <w:t xml:space="preserve">     </w:t>
      </w:r>
      <w:r>
        <w:rPr>
          <w:rFonts w:hint="eastAsia" w:ascii="微软雅黑" w:hAnsi="微软雅黑"/>
          <w:sz w:val="28"/>
          <w:szCs w:val="28"/>
        </w:rPr>
        <w:t>日</w:t>
      </w:r>
    </w:p>
    <w:p>
      <w:pPr>
        <w:spacing w:after="0" w:line="360" w:lineRule="auto"/>
        <w:ind w:firstLine="3640" w:firstLineChars="1300"/>
        <w:rPr>
          <w:rFonts w:ascii="微软雅黑" w:hAnsi="微软雅黑"/>
          <w:sz w:val="28"/>
          <w:szCs w:val="28"/>
        </w:rPr>
      </w:pPr>
    </w:p>
    <w:p>
      <w:pPr>
        <w:spacing w:after="0" w:line="360" w:lineRule="auto"/>
        <w:ind w:firstLine="3640" w:firstLineChars="1300"/>
        <w:rPr>
          <w:rFonts w:ascii="微软雅黑" w:hAnsi="微软雅黑"/>
          <w:sz w:val="28"/>
          <w:szCs w:val="28"/>
        </w:rPr>
      </w:pPr>
    </w:p>
    <w:p>
      <w:pPr>
        <w:spacing w:after="0" w:line="360" w:lineRule="auto"/>
        <w:rPr>
          <w:rFonts w:ascii="宋体" w:hAnsi="宋体" w:eastAsia="宋体"/>
          <w:sz w:val="24"/>
          <w:szCs w:val="24"/>
        </w:rPr>
      </w:pPr>
      <w:r>
        <w:rPr>
          <w:rFonts w:hint="eastAsia" w:ascii="宋体" w:hAnsi="宋体" w:eastAsia="宋体"/>
          <w:sz w:val="24"/>
          <w:szCs w:val="24"/>
        </w:rPr>
        <w:t>3.1投标函格式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投 标 函</w:t>
      </w:r>
    </w:p>
    <w:p>
      <w:pPr>
        <w:spacing w:after="0" w:line="360" w:lineRule="auto"/>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项目的谈判公告及谈判文件，我方签字代表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（投标人全称）提交本项目的投标响应文件：正本一份、副本贰份。</w:t>
      </w:r>
    </w:p>
    <w:p>
      <w:pPr>
        <w:ind w:left="440" w:leftChars="200"/>
        <w:rPr>
          <w:rFonts w:ascii="宋体" w:hAnsi="宋体" w:eastAsia="宋体"/>
          <w:sz w:val="24"/>
          <w:szCs w:val="24"/>
        </w:rPr>
      </w:pPr>
      <w:r>
        <w:rPr>
          <w:rFonts w:hint="eastAsia" w:ascii="宋体" w:hAnsi="宋体" w:eastAsia="宋体"/>
          <w:sz w:val="24"/>
          <w:szCs w:val="24"/>
        </w:rPr>
        <w:t>愿意按照竞争性谈判文件中的一切要求，提供工程监理和服务，总报价（含税）为：人民币小写</w:t>
      </w:r>
      <w:r>
        <w:rPr>
          <w:rFonts w:hint="eastAsia" w:ascii="宋体" w:hAnsi="宋体" w:eastAsia="宋体"/>
          <w:sz w:val="24"/>
          <w:szCs w:val="24"/>
          <w:u w:val="single"/>
        </w:rPr>
        <w:t xml:space="preserve">        </w:t>
      </w:r>
      <w:r>
        <w:rPr>
          <w:rFonts w:hint="eastAsia" w:ascii="宋体" w:hAnsi="宋体" w:eastAsia="宋体"/>
          <w:sz w:val="24"/>
          <w:szCs w:val="24"/>
        </w:rPr>
        <w:t>元，大写</w:t>
      </w:r>
      <w:r>
        <w:rPr>
          <w:rFonts w:hint="eastAsia" w:ascii="宋体" w:hAnsi="宋体" w:eastAsia="宋体"/>
          <w:sz w:val="24"/>
          <w:szCs w:val="24"/>
          <w:u w:val="single"/>
        </w:rPr>
        <w:t xml:space="preserve">         </w:t>
      </w:r>
      <w:r>
        <w:rPr>
          <w:rFonts w:hint="eastAsia" w:ascii="宋体" w:hAnsi="宋体" w:eastAsia="宋体"/>
          <w:sz w:val="24"/>
          <w:szCs w:val="24"/>
        </w:rPr>
        <w:t>元。</w:t>
      </w:r>
    </w:p>
    <w:p>
      <w:pPr>
        <w:spacing w:after="0" w:line="360" w:lineRule="auto"/>
        <w:rPr>
          <w:rFonts w:ascii="宋体" w:hAnsi="宋体" w:eastAsia="宋体"/>
          <w:sz w:val="24"/>
          <w:szCs w:val="24"/>
        </w:rPr>
      </w:pPr>
      <w:r>
        <w:rPr>
          <w:rFonts w:hint="eastAsia" w:ascii="宋体" w:hAnsi="宋体" w:eastAsia="宋体"/>
          <w:sz w:val="24"/>
          <w:szCs w:val="24"/>
        </w:rPr>
        <w:t xml:space="preserve">    据此函，我方承诺如下：</w:t>
      </w:r>
    </w:p>
    <w:p>
      <w:pPr>
        <w:spacing w:after="0"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1.</w:t>
      </w:r>
      <w:r>
        <w:rPr>
          <w:rFonts w:hint="eastAsia" w:ascii="宋体" w:hAnsi="宋体" w:eastAsia="宋体"/>
          <w:sz w:val="24"/>
          <w:szCs w:val="24"/>
        </w:rPr>
        <w:t>我方已详细审查全部“谈判文件”，包括修改文件以及全部参考资料和有关附件，已经了解我方对于谈判文件、采购过程、采购结果有依法进行询问、质疑、投诉的权利及相关渠道和要求。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2.我方完全理解并接受谈判文件的各项规定和要求，对谈判文件的合理性、合法性不再有异议。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3.我方愿意按照谈判文件规定的各项要求，向采购人提供合格的服务。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4.我方同意从谈判文件规定的开标日期起遵循本投标响应文件，并在谈判文件规定的谈判有效期内均具有约束力。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5.如我方中标，本响应文件至本项目合同履行完毕止均保持有效，本投标人将按“谈判文件”及法律、法规的规定履行合同责任和义务。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6.我方同意按照贵方要求提供与投标有关的一切数据或资料。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7.与本投标有关的一切正式往来信函请寄：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spacing w:after="0" w:line="360" w:lineRule="auto"/>
        <w:rPr>
          <w:rFonts w:ascii="宋体" w:hAnsi="宋体" w:eastAsia="宋体"/>
          <w:sz w:val="24"/>
          <w:szCs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spacing w:after="0" w:line="360" w:lineRule="auto"/>
        <w:rPr>
          <w:rFonts w:ascii="宋体" w:hAnsi="宋体" w:eastAsia="宋体"/>
          <w:sz w:val="24"/>
          <w:szCs w:val="24"/>
        </w:rPr>
      </w:pPr>
      <w:r>
        <w:rPr>
          <w:rFonts w:hint="eastAsia" w:ascii="宋体" w:hAnsi="宋体" w:eastAsia="宋体"/>
          <w:sz w:val="24"/>
          <w:szCs w:val="24"/>
        </w:rPr>
        <w:t>投标人（公章）：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4.商务文件封面格式</w:t>
      </w:r>
    </w:p>
    <w:p>
      <w:pPr>
        <w:spacing w:line="220" w:lineRule="atLeast"/>
        <w:jc w:val="center"/>
        <w:rPr>
          <w:rFonts w:ascii="宋体" w:hAnsi="宋体" w:eastAsia="宋体"/>
          <w:b/>
          <w:sz w:val="32"/>
          <w:szCs w:val="32"/>
        </w:rPr>
      </w:pPr>
    </w:p>
    <w:p>
      <w:pPr>
        <w:spacing w:line="220" w:lineRule="atLeast"/>
        <w:jc w:val="center"/>
        <w:rPr>
          <w:rFonts w:ascii="微软雅黑" w:hAnsi="微软雅黑"/>
          <w:sz w:val="28"/>
          <w:szCs w:val="32"/>
        </w:rPr>
      </w:pPr>
      <w:r>
        <w:rPr>
          <w:rFonts w:hint="eastAsia" w:ascii="微软雅黑" w:hAnsi="微软雅黑"/>
          <w:sz w:val="28"/>
          <w:szCs w:val="32"/>
        </w:rPr>
        <w:t>恩施大峡谷地缝景区7.17特大暴雨灾后治理、恢复工程</w:t>
      </w:r>
    </w:p>
    <w:p>
      <w:pPr>
        <w:spacing w:line="220" w:lineRule="atLeast"/>
        <w:jc w:val="center"/>
        <w:rPr>
          <w:rFonts w:ascii="微软雅黑" w:hAnsi="微软雅黑"/>
          <w:sz w:val="28"/>
          <w:szCs w:val="32"/>
        </w:rPr>
      </w:pPr>
      <w:r>
        <w:rPr>
          <w:rFonts w:hint="eastAsia" w:ascii="微软雅黑" w:hAnsi="微软雅黑"/>
          <w:sz w:val="28"/>
          <w:szCs w:val="32"/>
        </w:rPr>
        <w:t>监理</w:t>
      </w:r>
      <w:r>
        <w:rPr>
          <w:rFonts w:hint="eastAsia" w:ascii="微软雅黑" w:hAnsi="微软雅黑"/>
          <w:sz w:val="28"/>
          <w:szCs w:val="28"/>
        </w:rPr>
        <w:t>竞争性谈判响应文件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商务文件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微软雅黑" w:hAnsi="微软雅黑"/>
          <w:sz w:val="28"/>
          <w:szCs w:val="28"/>
        </w:rPr>
      </w:pPr>
      <w:r>
        <w:rPr>
          <w:rFonts w:hint="eastAsia" w:ascii="微软雅黑" w:hAnsi="微软雅黑"/>
          <w:sz w:val="28"/>
          <w:szCs w:val="28"/>
        </w:rPr>
        <w:t>投标人：（全称并盖章）</w:t>
      </w:r>
    </w:p>
    <w:p>
      <w:pPr>
        <w:spacing w:line="220" w:lineRule="atLeast"/>
        <w:rPr>
          <w:rFonts w:ascii="微软雅黑" w:hAnsi="微软雅黑"/>
          <w:sz w:val="28"/>
          <w:szCs w:val="28"/>
        </w:rPr>
      </w:pPr>
      <w:r>
        <w:rPr>
          <w:rFonts w:hint="eastAsia" w:ascii="微软雅黑" w:hAnsi="微软雅黑"/>
          <w:sz w:val="28"/>
          <w:szCs w:val="28"/>
        </w:rPr>
        <w:t>法定代表人或其委托代理人：（签字）</w:t>
      </w:r>
    </w:p>
    <w:p>
      <w:pPr>
        <w:spacing w:line="220" w:lineRule="atLeast"/>
        <w:jc w:val="center"/>
        <w:rPr>
          <w:rFonts w:ascii="微软雅黑" w:hAnsi="微软雅黑"/>
          <w:sz w:val="28"/>
          <w:szCs w:val="28"/>
        </w:rPr>
      </w:pPr>
      <w:r>
        <w:rPr>
          <w:rFonts w:hint="eastAsia" w:ascii="微软雅黑" w:hAnsi="微软雅黑"/>
          <w:sz w:val="28"/>
          <w:szCs w:val="28"/>
          <w:u w:val="single"/>
        </w:rPr>
        <w:t xml:space="preserve">       </w:t>
      </w:r>
      <w:r>
        <w:rPr>
          <w:rFonts w:hint="eastAsia" w:ascii="微软雅黑" w:hAnsi="微软雅黑"/>
          <w:sz w:val="28"/>
          <w:szCs w:val="28"/>
        </w:rPr>
        <w:t>年</w:t>
      </w:r>
      <w:r>
        <w:rPr>
          <w:rFonts w:hint="eastAsia" w:ascii="微软雅黑" w:hAnsi="微软雅黑"/>
          <w:sz w:val="28"/>
          <w:szCs w:val="28"/>
          <w:u w:val="single"/>
        </w:rPr>
        <w:t xml:space="preserve">   </w:t>
      </w:r>
      <w:r>
        <w:rPr>
          <w:rFonts w:hint="eastAsia" w:ascii="微软雅黑" w:hAnsi="微软雅黑"/>
          <w:sz w:val="28"/>
          <w:szCs w:val="28"/>
        </w:rPr>
        <w:t>月</w:t>
      </w:r>
      <w:r>
        <w:rPr>
          <w:rFonts w:hint="eastAsia" w:ascii="微软雅黑" w:hAnsi="微软雅黑"/>
          <w:sz w:val="28"/>
          <w:szCs w:val="28"/>
          <w:u w:val="single"/>
        </w:rPr>
        <w:t xml:space="preserve">   </w:t>
      </w:r>
      <w:r>
        <w:rPr>
          <w:rFonts w:hint="eastAsia" w:ascii="微软雅黑" w:hAnsi="微软雅黑"/>
          <w:sz w:val="28"/>
          <w:szCs w:val="28"/>
        </w:rPr>
        <w:t>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4.1商务文件目录</w:t>
      </w:r>
    </w:p>
    <w:p>
      <w:pPr>
        <w:spacing w:line="220" w:lineRule="atLeast"/>
        <w:rPr>
          <w:rFonts w:ascii="宋体" w:hAnsi="宋体" w:eastAsia="宋体"/>
          <w:sz w:val="24"/>
          <w:szCs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szCs w:val="24"/>
        </w:rPr>
      </w:pPr>
      <w:r>
        <w:rPr>
          <w:rFonts w:hint="eastAsia" w:ascii="宋体" w:hAnsi="宋体" w:eastAsia="宋体"/>
          <w:sz w:val="24"/>
          <w:szCs w:val="24"/>
        </w:rPr>
        <w:t>（2）证明投标人合格的资格文件</w:t>
      </w:r>
    </w:p>
    <w:p>
      <w:pPr>
        <w:spacing w:line="220" w:lineRule="atLeast"/>
        <w:rPr>
          <w:rFonts w:ascii="宋体" w:hAnsi="宋体" w:eastAsia="宋体"/>
          <w:sz w:val="24"/>
          <w:szCs w:val="24"/>
        </w:rPr>
      </w:pPr>
      <w:r>
        <w:rPr>
          <w:rFonts w:hint="eastAsia" w:ascii="宋体" w:hAnsi="宋体" w:eastAsia="宋体"/>
          <w:sz w:val="24"/>
          <w:szCs w:val="24"/>
        </w:rPr>
        <w:t>（3）投标人业绩</w:t>
      </w:r>
    </w:p>
    <w:p>
      <w:pPr>
        <w:spacing w:after="0" w:line="360" w:lineRule="auto"/>
        <w:jc w:val="both"/>
        <w:rPr>
          <w:rFonts w:ascii="宋体" w:hAnsi="宋体" w:eastAsia="宋体"/>
          <w:sz w:val="24"/>
          <w:szCs w:val="24"/>
        </w:rPr>
      </w:pPr>
      <w:r>
        <w:rPr>
          <w:rFonts w:hint="eastAsia" w:ascii="宋体" w:hAnsi="宋体" w:eastAsia="宋体"/>
          <w:sz w:val="24"/>
          <w:szCs w:val="24"/>
        </w:rPr>
        <w:t>（4）近三年财务审计报告（201</w:t>
      </w:r>
      <w:r>
        <w:rPr>
          <w:rFonts w:ascii="宋体" w:hAnsi="宋体" w:eastAsia="宋体"/>
          <w:sz w:val="24"/>
          <w:szCs w:val="24"/>
        </w:rPr>
        <w:t>7</w:t>
      </w:r>
      <w:r>
        <w:rPr>
          <w:rFonts w:hint="eastAsia" w:ascii="宋体" w:hAnsi="宋体" w:eastAsia="宋体"/>
          <w:sz w:val="24"/>
          <w:szCs w:val="24"/>
        </w:rPr>
        <w:t>、201</w:t>
      </w:r>
      <w:r>
        <w:rPr>
          <w:rFonts w:ascii="宋体" w:hAnsi="宋体" w:eastAsia="宋体"/>
          <w:sz w:val="24"/>
          <w:szCs w:val="24"/>
        </w:rPr>
        <w:t>8</w:t>
      </w:r>
      <w:r>
        <w:rPr>
          <w:rFonts w:hint="eastAsia" w:ascii="宋体" w:hAnsi="宋体" w:eastAsia="宋体"/>
          <w:sz w:val="24"/>
          <w:szCs w:val="24"/>
        </w:rPr>
        <w:t>、201</w:t>
      </w:r>
      <w:r>
        <w:rPr>
          <w:rFonts w:ascii="宋体" w:hAnsi="宋体" w:eastAsia="宋体"/>
          <w:sz w:val="24"/>
          <w:szCs w:val="24"/>
        </w:rPr>
        <w:t>9</w:t>
      </w:r>
      <w:r>
        <w:rPr>
          <w:rFonts w:hint="eastAsia" w:ascii="宋体" w:hAnsi="宋体" w:eastAsia="宋体"/>
          <w:sz w:val="24"/>
          <w:szCs w:val="24"/>
        </w:rPr>
        <w:t>，成立不足三年的根据实际情况提供）；</w:t>
      </w:r>
    </w:p>
    <w:p>
      <w:pPr>
        <w:spacing w:after="0" w:line="360" w:lineRule="auto"/>
        <w:jc w:val="both"/>
        <w:rPr>
          <w:rFonts w:ascii="宋体" w:hAnsi="宋体" w:eastAsia="宋体"/>
          <w:sz w:val="24"/>
          <w:szCs w:val="24"/>
        </w:rPr>
      </w:pPr>
      <w:r>
        <w:rPr>
          <w:rFonts w:hint="eastAsia" w:ascii="宋体" w:hAnsi="宋体" w:eastAsia="宋体"/>
          <w:sz w:val="24"/>
          <w:szCs w:val="24"/>
        </w:rPr>
        <w:t>（5）拟派的总监理工程师及主要监理人员近3个月（自投标截止时间前推</w:t>
      </w:r>
      <w:r>
        <w:rPr>
          <w:rFonts w:ascii="宋体" w:hAnsi="宋体" w:eastAsia="宋体"/>
          <w:sz w:val="24"/>
          <w:szCs w:val="24"/>
        </w:rPr>
        <w:t>3</w:t>
      </w:r>
      <w:r>
        <w:rPr>
          <w:rFonts w:hint="eastAsia" w:ascii="宋体" w:hAnsi="宋体" w:eastAsia="宋体"/>
          <w:sz w:val="24"/>
          <w:szCs w:val="24"/>
        </w:rPr>
        <w:t>个月）的社保明细（社保局盖章）。</w:t>
      </w:r>
    </w:p>
    <w:p>
      <w:pPr>
        <w:spacing w:after="0" w:line="360" w:lineRule="auto"/>
        <w:jc w:val="both"/>
        <w:rPr>
          <w:rFonts w:ascii="宋体" w:hAnsi="宋体" w:eastAsia="宋体"/>
          <w:sz w:val="24"/>
          <w:szCs w:val="24"/>
        </w:rPr>
      </w:pPr>
      <w:r>
        <w:rPr>
          <w:rFonts w:hint="eastAsia" w:ascii="宋体" w:hAnsi="宋体" w:eastAsia="宋体"/>
          <w:kern w:val="10"/>
          <w:sz w:val="24"/>
          <w:szCs w:val="24"/>
        </w:rPr>
        <w:t>（6）投标人在参加投标活动前三年内，在经营活动中没有重大违法记录（提供书面声明）；没有不良行为记录（提供全国建筑市场监管公共服务平台查询记录截图及信用中国查询截图）。</w:t>
      </w:r>
    </w:p>
    <w:p>
      <w:pPr>
        <w:spacing w:after="0" w:line="360" w:lineRule="auto"/>
        <w:jc w:val="both"/>
        <w:rPr>
          <w:rFonts w:ascii="宋体" w:hAnsi="宋体" w:eastAsia="宋体"/>
          <w:sz w:val="24"/>
          <w:szCs w:val="24"/>
        </w:rPr>
      </w:pPr>
      <w:r>
        <w:rPr>
          <w:rFonts w:hint="eastAsia" w:ascii="宋体" w:hAnsi="宋体" w:eastAsia="宋体"/>
          <w:sz w:val="24"/>
          <w:szCs w:val="24"/>
        </w:rPr>
        <w:t>（7）</w:t>
      </w:r>
      <w:r>
        <w:rPr>
          <w:rFonts w:hint="eastAsia" w:ascii="宋体" w:hAnsi="宋体" w:eastAsia="宋体"/>
          <w:kern w:val="10"/>
          <w:sz w:val="24"/>
          <w:szCs w:val="24"/>
        </w:rPr>
        <w:t>根据《关于落实</w:t>
      </w:r>
      <w:r>
        <w:rPr>
          <w:rFonts w:ascii="宋体" w:hAnsi="宋体" w:eastAsia="宋体"/>
          <w:kern w:val="10"/>
          <w:sz w:val="24"/>
          <w:szCs w:val="24"/>
        </w:rPr>
        <w:t>&lt;</w:t>
      </w:r>
      <w:r>
        <w:rPr>
          <w:rFonts w:hint="eastAsia" w:ascii="宋体" w:hAnsi="宋体" w:eastAsia="宋体"/>
          <w:kern w:val="10"/>
          <w:sz w:val="24"/>
          <w:szCs w:val="24"/>
        </w:rPr>
        <w:t>恩施州建设领域劳动者工资支付保障实施方法</w:t>
      </w:r>
      <w:r>
        <w:rPr>
          <w:rFonts w:ascii="宋体" w:hAnsi="宋体" w:eastAsia="宋体"/>
          <w:kern w:val="10"/>
          <w:sz w:val="24"/>
          <w:szCs w:val="24"/>
        </w:rPr>
        <w:t>&gt;</w:t>
      </w:r>
      <w:r>
        <w:rPr>
          <w:rFonts w:hint="eastAsia" w:ascii="宋体" w:hAnsi="宋体" w:eastAsia="宋体"/>
          <w:kern w:val="10"/>
          <w:sz w:val="24"/>
          <w:szCs w:val="24"/>
        </w:rPr>
        <w:t>相关规定的意见》的补充通知（恩施州人社函</w:t>
      </w:r>
      <w:r>
        <w:rPr>
          <w:rFonts w:ascii="宋体" w:hAnsi="宋体" w:eastAsia="宋体"/>
          <w:kern w:val="10"/>
          <w:sz w:val="24"/>
          <w:szCs w:val="24"/>
        </w:rPr>
        <w:t>[2017]35</w:t>
      </w:r>
      <w:r>
        <w:rPr>
          <w:rFonts w:hint="eastAsia" w:ascii="宋体" w:hAnsi="宋体" w:eastAsia="宋体"/>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line="220" w:lineRule="atLeast"/>
        <w:rPr>
          <w:rFonts w:ascii="宋体" w:hAnsi="宋体" w:eastAsia="宋体"/>
          <w:sz w:val="24"/>
          <w:szCs w:val="24"/>
        </w:rPr>
      </w:pPr>
      <w:r>
        <w:rPr>
          <w:rFonts w:hint="eastAsia" w:ascii="宋体" w:hAnsi="宋体" w:eastAsia="宋体"/>
          <w:sz w:val="24"/>
          <w:szCs w:val="24"/>
        </w:rPr>
        <w:t>（8）投标人认为需要提交的其他材料（如有）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在撤销授权的书面通知到达被授权人以前，本授权书一直有效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投标人公章：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Theme="minorEastAsia" w:hAnsiTheme="minorEastAsia" w:eastAsiaTheme="minorEastAsia"/>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hint="eastAsia" w:asciiTheme="minorEastAsia" w:hAnsiTheme="minorEastAsia" w:eastAsiaTheme="minorEastAsia"/>
          <w:sz w:val="24"/>
          <w:szCs w:val="24"/>
        </w:rPr>
        <w:t>同时具有建设行政主管部门核发的房屋建筑工程或市政公用工程乙级及以上监理资质</w:t>
      </w:r>
      <w:r>
        <w:rPr>
          <w:rFonts w:hint="eastAsia" w:cs="宋体" w:asciiTheme="minorEastAsia" w:hAnsiTheme="minorEastAsia" w:eastAsiaTheme="minorEastAsia"/>
          <w:sz w:val="24"/>
          <w:szCs w:val="24"/>
        </w:rPr>
        <w:t>；</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（3）总监理工程师应具备国家注册监理工程师证书；</w:t>
      </w:r>
    </w:p>
    <w:p>
      <w:pPr>
        <w:spacing w:after="0" w:line="360" w:lineRule="auto"/>
        <w:jc w:val="both"/>
        <w:rPr>
          <w:rFonts w:asciiTheme="minorEastAsia" w:hAnsiTheme="minorEastAsia" w:eastAsiaTheme="minorEastAsia"/>
          <w:sz w:val="24"/>
          <w:szCs w:val="24"/>
        </w:rPr>
      </w:pPr>
      <w:r>
        <w:rPr>
          <w:rFonts w:hint="eastAsia" w:ascii="宋体" w:hAnsi="宋体" w:eastAsia="宋体"/>
          <w:sz w:val="24"/>
          <w:szCs w:val="24"/>
        </w:rPr>
        <w:t>（4）无犯罪记录告知函；</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w:t>
      </w:r>
      <w:r>
        <w:rPr>
          <w:rFonts w:ascii="宋体" w:hAnsi="宋体" w:eastAsia="宋体"/>
          <w:sz w:val="24"/>
          <w:szCs w:val="24"/>
        </w:rPr>
        <w:t>2017</w:t>
      </w:r>
      <w:r>
        <w:rPr>
          <w:rFonts w:hint="eastAsia" w:ascii="宋体" w:hAnsi="宋体" w:eastAsia="宋体"/>
          <w:sz w:val="24"/>
          <w:szCs w:val="24"/>
        </w:rPr>
        <w:t>年1月1日以来承接的类似项目业绩（格式自拟）</w:t>
      </w:r>
    </w:p>
    <w:p>
      <w:pPr>
        <w:spacing w:after="0" w:line="360" w:lineRule="auto"/>
        <w:jc w:val="both"/>
        <w:rPr>
          <w:rFonts w:ascii="宋体" w:hAnsi="宋体" w:eastAsia="宋体"/>
          <w:sz w:val="24"/>
          <w:szCs w:val="24"/>
        </w:rPr>
      </w:pPr>
      <w:r>
        <w:rPr>
          <w:rFonts w:hint="eastAsia" w:ascii="宋体" w:hAnsi="宋体" w:eastAsia="宋体"/>
          <w:sz w:val="24"/>
          <w:szCs w:val="24"/>
        </w:rPr>
        <w:t>4.5近三年财务审计报告（201</w:t>
      </w:r>
      <w:r>
        <w:rPr>
          <w:rFonts w:ascii="宋体" w:hAnsi="宋体" w:eastAsia="宋体"/>
          <w:sz w:val="24"/>
          <w:szCs w:val="24"/>
        </w:rPr>
        <w:t>7</w:t>
      </w:r>
      <w:r>
        <w:rPr>
          <w:rFonts w:hint="eastAsia" w:ascii="宋体" w:hAnsi="宋体" w:eastAsia="宋体"/>
          <w:sz w:val="24"/>
          <w:szCs w:val="24"/>
        </w:rPr>
        <w:t>、201</w:t>
      </w:r>
      <w:r>
        <w:rPr>
          <w:rFonts w:ascii="宋体" w:hAnsi="宋体" w:eastAsia="宋体"/>
          <w:sz w:val="24"/>
          <w:szCs w:val="24"/>
        </w:rPr>
        <w:t>8</w:t>
      </w:r>
      <w:r>
        <w:rPr>
          <w:rFonts w:hint="eastAsia" w:ascii="宋体" w:hAnsi="宋体" w:eastAsia="宋体"/>
          <w:sz w:val="24"/>
          <w:szCs w:val="24"/>
        </w:rPr>
        <w:t>、201</w:t>
      </w:r>
      <w:r>
        <w:rPr>
          <w:rFonts w:ascii="宋体" w:hAnsi="宋体" w:eastAsia="宋体"/>
          <w:sz w:val="24"/>
          <w:szCs w:val="24"/>
        </w:rPr>
        <w:t>9</w:t>
      </w:r>
      <w:r>
        <w:rPr>
          <w:rFonts w:hint="eastAsia" w:ascii="宋体" w:hAnsi="宋体" w:eastAsia="宋体"/>
          <w:sz w:val="24"/>
          <w:szCs w:val="24"/>
        </w:rPr>
        <w:t>）；</w:t>
      </w:r>
    </w:p>
    <w:p>
      <w:pPr>
        <w:spacing w:after="0" w:line="360" w:lineRule="auto"/>
        <w:jc w:val="both"/>
        <w:rPr>
          <w:rFonts w:ascii="宋体" w:hAnsi="宋体" w:eastAsia="宋体"/>
          <w:sz w:val="24"/>
          <w:szCs w:val="24"/>
        </w:rPr>
      </w:pPr>
      <w:r>
        <w:rPr>
          <w:rFonts w:hint="eastAsia" w:ascii="宋体" w:hAnsi="宋体" w:eastAsia="宋体"/>
          <w:sz w:val="24"/>
          <w:szCs w:val="24"/>
        </w:rPr>
        <w:t>4.6拟派的总监理工程师及主要管理人员近</w:t>
      </w:r>
      <w:r>
        <w:rPr>
          <w:rFonts w:ascii="宋体" w:hAnsi="宋体" w:eastAsia="宋体"/>
          <w:sz w:val="24"/>
          <w:szCs w:val="24"/>
        </w:rPr>
        <w:t>3</w:t>
      </w:r>
      <w:r>
        <w:rPr>
          <w:rFonts w:hint="eastAsia" w:ascii="宋体" w:hAnsi="宋体" w:eastAsia="宋体"/>
          <w:sz w:val="24"/>
          <w:szCs w:val="24"/>
        </w:rPr>
        <w:t>个月（自投标截止时间前推</w:t>
      </w:r>
      <w:r>
        <w:rPr>
          <w:rFonts w:ascii="宋体" w:hAnsi="宋体" w:eastAsia="宋体"/>
          <w:sz w:val="24"/>
          <w:szCs w:val="24"/>
        </w:rPr>
        <w:t>3</w:t>
      </w:r>
      <w:r>
        <w:rPr>
          <w:rFonts w:hint="eastAsia" w:ascii="宋体" w:hAnsi="宋体" w:eastAsia="宋体"/>
          <w:sz w:val="24"/>
          <w:szCs w:val="24"/>
        </w:rPr>
        <w:t>个月）的社保明细（社保局盖章）。</w:t>
      </w:r>
    </w:p>
    <w:p>
      <w:pPr>
        <w:spacing w:after="0" w:line="360" w:lineRule="auto"/>
        <w:jc w:val="both"/>
        <w:rPr>
          <w:rFonts w:ascii="宋体" w:hAnsi="宋体" w:eastAsia="宋体"/>
          <w:sz w:val="24"/>
          <w:szCs w:val="24"/>
        </w:rPr>
      </w:pPr>
      <w:r>
        <w:rPr>
          <w:rFonts w:hint="eastAsia" w:ascii="宋体" w:hAnsi="宋体" w:eastAsia="宋体"/>
          <w:kern w:val="10"/>
          <w:sz w:val="24"/>
          <w:szCs w:val="24"/>
        </w:rPr>
        <w:t>4.7投标人在参加投标活动前三年内，在经营活动中没有重大违法记录的书面声明；全国建筑市场监管公共服务平台诚信信息中查询的不良行为记录截图及信用中国查询截图。</w:t>
      </w:r>
    </w:p>
    <w:p>
      <w:pPr>
        <w:spacing w:after="0" w:line="360" w:lineRule="auto"/>
        <w:jc w:val="both"/>
        <w:rPr>
          <w:rFonts w:ascii="宋体" w:hAnsi="宋体" w:eastAsia="宋体"/>
          <w:sz w:val="24"/>
          <w:szCs w:val="24"/>
        </w:rPr>
      </w:pPr>
      <w:r>
        <w:rPr>
          <w:rFonts w:hint="eastAsia" w:ascii="宋体" w:hAnsi="宋体" w:eastAsia="宋体"/>
          <w:sz w:val="24"/>
          <w:szCs w:val="24"/>
        </w:rPr>
        <w:t>4.8</w:t>
      </w:r>
      <w:r>
        <w:rPr>
          <w:rFonts w:hint="eastAsia" w:ascii="宋体" w:hAnsi="宋体" w:eastAsia="宋体"/>
          <w:kern w:val="10"/>
          <w:sz w:val="24"/>
          <w:szCs w:val="24"/>
        </w:rPr>
        <w:t>不拖欠员工工资承诺书</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9投标人认为需要提交的其他材料（如有）</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.10</w:t>
      </w:r>
      <w:r>
        <w:rPr>
          <w:rFonts w:hint="eastAsia" w:ascii="宋体" w:hAnsi="宋体" w:eastAsia="宋体"/>
          <w:sz w:val="24"/>
          <w:szCs w:val="24"/>
        </w:rPr>
        <w:t>投标人若中标后，现场监理须实行每日上班打卡，自备打卡机并设在招标人办公室，每月不得少于2</w:t>
      </w:r>
      <w:r>
        <w:rPr>
          <w:rFonts w:ascii="宋体" w:hAnsi="宋体" w:eastAsia="宋体"/>
          <w:sz w:val="24"/>
          <w:szCs w:val="24"/>
        </w:rPr>
        <w:t>2</w:t>
      </w:r>
      <w:r>
        <w:rPr>
          <w:rFonts w:hint="eastAsia" w:ascii="宋体" w:hAnsi="宋体" w:eastAsia="宋体"/>
          <w:sz w:val="24"/>
          <w:szCs w:val="24"/>
        </w:rPr>
        <w:t>日，总监理工程师每周不得少于3次打卡，并提供承诺书。</w:t>
      </w:r>
    </w:p>
    <w:p>
      <w:pPr>
        <w:spacing w:after="0" w:line="360" w:lineRule="auto"/>
        <w:jc w:val="both"/>
        <w:rPr>
          <w:rFonts w:ascii="宋体" w:hAnsi="宋体" w:eastAsia="宋体"/>
          <w:sz w:val="24"/>
          <w:szCs w:val="24"/>
        </w:rPr>
      </w:pPr>
      <w:r>
        <w:rPr>
          <w:rFonts w:hint="eastAsia" w:ascii="宋体" w:hAnsi="宋体" w:eastAsia="宋体"/>
          <w:sz w:val="24"/>
          <w:szCs w:val="24"/>
        </w:rPr>
        <w:t>注：以上材料除在响应文件中提供相关材料复印件以外，还需在开标会上提供原件。</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5.技术文件封面格式</w:t>
      </w:r>
    </w:p>
    <w:p>
      <w:pPr>
        <w:spacing w:after="0" w:line="360" w:lineRule="auto"/>
        <w:jc w:val="center"/>
        <w:rPr>
          <w:rFonts w:ascii="宋体" w:hAnsi="宋体" w:eastAsia="宋体"/>
          <w:sz w:val="24"/>
          <w:szCs w:val="24"/>
        </w:rPr>
      </w:pPr>
    </w:p>
    <w:p>
      <w:pPr>
        <w:spacing w:line="220" w:lineRule="atLeast"/>
        <w:jc w:val="center"/>
        <w:rPr>
          <w:rFonts w:ascii="微软雅黑" w:hAnsi="微软雅黑"/>
          <w:sz w:val="28"/>
          <w:szCs w:val="32"/>
        </w:rPr>
      </w:pPr>
      <w:r>
        <w:rPr>
          <w:rFonts w:hint="eastAsia" w:ascii="微软雅黑" w:hAnsi="微软雅黑"/>
          <w:sz w:val="28"/>
          <w:szCs w:val="32"/>
        </w:rPr>
        <w:t>恩施大峡谷地缝景区7.17特大暴雨灾后治理、恢复工程</w:t>
      </w:r>
    </w:p>
    <w:p>
      <w:pPr>
        <w:spacing w:line="220" w:lineRule="atLeast"/>
        <w:jc w:val="center"/>
        <w:rPr>
          <w:rFonts w:ascii="微软雅黑" w:hAnsi="微软雅黑"/>
          <w:sz w:val="28"/>
          <w:szCs w:val="32"/>
        </w:rPr>
      </w:pPr>
      <w:r>
        <w:rPr>
          <w:rFonts w:hint="eastAsia" w:ascii="微软雅黑" w:hAnsi="微软雅黑"/>
          <w:sz w:val="28"/>
          <w:szCs w:val="32"/>
        </w:rPr>
        <w:t>监理</w:t>
      </w:r>
      <w:r>
        <w:rPr>
          <w:rFonts w:hint="eastAsia" w:ascii="微软雅黑" w:hAnsi="微软雅黑"/>
          <w:sz w:val="28"/>
          <w:szCs w:val="28"/>
        </w:rPr>
        <w:t>竞争性谈判响应文件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jc w:val="center"/>
        <w:rPr>
          <w:rFonts w:ascii="微软雅黑" w:hAnsi="微软雅黑"/>
          <w:sz w:val="28"/>
          <w:szCs w:val="28"/>
        </w:rPr>
      </w:pPr>
      <w:r>
        <w:rPr>
          <w:rFonts w:hint="eastAsia" w:ascii="微软雅黑" w:hAnsi="微软雅黑"/>
          <w:sz w:val="28"/>
          <w:szCs w:val="28"/>
        </w:rPr>
        <w:t>技术文件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投标人：（全称并盖章）</w:t>
      </w:r>
    </w:p>
    <w:p>
      <w:pPr>
        <w:spacing w:line="220" w:lineRule="atLeast"/>
        <w:rPr>
          <w:rFonts w:ascii="微软雅黑" w:hAnsi="微软雅黑"/>
          <w:sz w:val="28"/>
          <w:szCs w:val="28"/>
        </w:rPr>
      </w:pPr>
      <w:r>
        <w:rPr>
          <w:rFonts w:hint="eastAsia" w:ascii="微软雅黑" w:hAnsi="微软雅黑"/>
          <w:sz w:val="28"/>
          <w:szCs w:val="28"/>
        </w:rPr>
        <w:t>法定代表人或其委托代理人：（签字）</w:t>
      </w:r>
    </w:p>
    <w:p>
      <w:pPr>
        <w:spacing w:after="0" w:line="360" w:lineRule="auto"/>
        <w:ind w:firstLine="4200" w:firstLineChars="1500"/>
        <w:rPr>
          <w:rFonts w:ascii="宋体" w:hAnsi="宋体" w:eastAsia="宋体"/>
          <w:sz w:val="24"/>
          <w:szCs w:val="24"/>
        </w:rPr>
      </w:pPr>
      <w:r>
        <w:rPr>
          <w:rFonts w:hint="eastAsia" w:ascii="微软雅黑" w:hAnsi="微软雅黑"/>
          <w:sz w:val="28"/>
          <w:szCs w:val="28"/>
          <w:u w:val="single"/>
        </w:rPr>
        <w:t xml:space="preserve">       </w:t>
      </w:r>
      <w:r>
        <w:rPr>
          <w:rFonts w:hint="eastAsia" w:ascii="微软雅黑" w:hAnsi="微软雅黑"/>
          <w:sz w:val="28"/>
          <w:szCs w:val="28"/>
        </w:rPr>
        <w:t>年</w:t>
      </w:r>
      <w:r>
        <w:rPr>
          <w:rFonts w:hint="eastAsia" w:ascii="微软雅黑" w:hAnsi="微软雅黑"/>
          <w:sz w:val="28"/>
          <w:szCs w:val="28"/>
          <w:u w:val="single"/>
        </w:rPr>
        <w:t xml:space="preserve">   </w:t>
      </w:r>
      <w:r>
        <w:rPr>
          <w:rFonts w:hint="eastAsia" w:ascii="微软雅黑" w:hAnsi="微软雅黑"/>
          <w:sz w:val="28"/>
          <w:szCs w:val="28"/>
        </w:rPr>
        <w:t>月</w:t>
      </w:r>
      <w:r>
        <w:rPr>
          <w:rFonts w:hint="eastAsia" w:ascii="微软雅黑" w:hAnsi="微软雅黑"/>
          <w:sz w:val="28"/>
          <w:szCs w:val="28"/>
          <w:u w:val="single"/>
        </w:rPr>
        <w:t xml:space="preserve">   </w:t>
      </w:r>
      <w:r>
        <w:rPr>
          <w:rFonts w:hint="eastAsia" w:ascii="微软雅黑" w:hAnsi="微软雅黑"/>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5.1技术文件目录</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（1）机构设置及主要人员情况介绍（格式自拟）；</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（2）监理方式或监理工作大纲（格式自拟）； </w:t>
      </w:r>
    </w:p>
    <w:p>
      <w:pPr>
        <w:spacing w:after="0" w:line="360" w:lineRule="auto"/>
        <w:rPr>
          <w:rFonts w:ascii="宋体" w:hAnsi="宋体" w:eastAsia="宋体"/>
          <w:sz w:val="24"/>
          <w:szCs w:val="24"/>
        </w:rPr>
      </w:pPr>
      <w:r>
        <w:rPr>
          <w:rFonts w:hint="eastAsia" w:asciiTheme="minorEastAsia" w:hAnsiTheme="minorEastAsia" w:eastAsiaTheme="minorEastAsia"/>
          <w:sz w:val="24"/>
          <w:szCs w:val="24"/>
        </w:rPr>
        <w:t>（3）投标人需要说明的其他文件和说明（如有）。</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5.2</w:t>
      </w:r>
      <w:r>
        <w:rPr>
          <w:rFonts w:hint="eastAsia" w:asciiTheme="minorEastAsia" w:hAnsiTheme="minorEastAsia" w:eastAsiaTheme="minorEastAsia"/>
          <w:sz w:val="24"/>
          <w:szCs w:val="24"/>
        </w:rPr>
        <w:t>监理方式或监理工作大纲</w:t>
      </w:r>
      <w:r>
        <w:rPr>
          <w:rFonts w:hint="eastAsia" w:ascii="宋体" w:hAnsi="宋体" w:eastAsia="宋体"/>
          <w:sz w:val="24"/>
          <w:szCs w:val="24"/>
        </w:rPr>
        <w:t>（格式自拟）。应当包括：工程质量控制、工程进度控制、工程投资控制、安全文明施工控制等。</w:t>
      </w:r>
    </w:p>
    <w:p>
      <w:pPr>
        <w:spacing w:after="0" w:line="360" w:lineRule="auto"/>
        <w:rPr>
          <w:rFonts w:ascii="宋体" w:hAnsi="宋体" w:eastAsia="宋体"/>
          <w:sz w:val="24"/>
          <w:szCs w:val="24"/>
        </w:rPr>
      </w:pPr>
      <w:r>
        <w:rPr>
          <w:rFonts w:hint="eastAsia" w:ascii="宋体" w:hAnsi="宋体" w:eastAsia="宋体"/>
          <w:sz w:val="24"/>
          <w:szCs w:val="24"/>
        </w:rPr>
        <w:t>5.3投标人需要说明的其他文件和说明。</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sectPr>
      <w:footerReference r:id="rId3" w:type="default"/>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5569157"/>
                          </w:sdtPr>
                          <w:sdtContent>
                            <w:sdt>
                              <w:sdtPr>
                                <w:id w:val="25569158"/>
                              </w:sdtPr>
                              <w:sdtContent>
                                <w:p>
                                  <w:pPr>
                                    <w:pStyle w:val="10"/>
                                    <w:jc w:val="center"/>
                                  </w:pP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PAGE   \* MERGEFORMAT</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ascii="楷体" w:hAnsi="楷体" w:eastAsia="楷体"/>
                                      <w:sz w:val="21"/>
                                      <w:szCs w:val="21"/>
                                    </w:rPr>
                                    <w:t>18</w:t>
                                  </w:r>
                                  <w:r>
                                    <w:rPr>
                                      <w:rFonts w:ascii="楷体" w:hAnsi="楷体" w:eastAsia="楷体"/>
                                      <w:sz w:val="21"/>
                                      <w:szCs w:val="21"/>
                                    </w:rPr>
                                    <w:fldChar w:fldCharType="end"/>
                                  </w:r>
                                  <w:r>
                                    <w:rPr>
                                      <w:rFonts w:hint="eastAsia" w:ascii="楷体" w:hAnsi="楷体" w:eastAsia="楷体"/>
                                      <w:sz w:val="21"/>
                                      <w:szCs w:val="21"/>
                                    </w:rPr>
                                    <w:t xml:space="preserve">  </w:t>
                                  </w:r>
                                </w:p>
                              </w:sdtContent>
                            </w:sdt>
                          </w:sdtContent>
                        </w:sd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sdt>
                    <w:sdtPr>
                      <w:id w:val="25569157"/>
                    </w:sdtPr>
                    <w:sdtContent>
                      <w:sdt>
                        <w:sdtPr>
                          <w:id w:val="25569158"/>
                        </w:sdtPr>
                        <w:sdtContent>
                          <w:p>
                            <w:pPr>
                              <w:pStyle w:val="10"/>
                              <w:jc w:val="center"/>
                            </w:pP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PAGE   \* MERGEFORMAT</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ascii="楷体" w:hAnsi="楷体" w:eastAsia="楷体"/>
                                <w:sz w:val="21"/>
                                <w:szCs w:val="21"/>
                              </w:rPr>
                              <w:t>18</w:t>
                            </w:r>
                            <w:r>
                              <w:rPr>
                                <w:rFonts w:ascii="楷体" w:hAnsi="楷体" w:eastAsia="楷体"/>
                                <w:sz w:val="21"/>
                                <w:szCs w:val="21"/>
                              </w:rPr>
                              <w:fldChar w:fldCharType="end"/>
                            </w:r>
                            <w:r>
                              <w:rPr>
                                <w:rFonts w:hint="eastAsia" w:ascii="楷体" w:hAnsi="楷体" w:eastAsia="楷体"/>
                                <w:sz w:val="21"/>
                                <w:szCs w:val="21"/>
                              </w:rPr>
                              <w:t xml:space="preserve">  </w:t>
                            </w:r>
                          </w:p>
                        </w:sdtContent>
                      </w:sdt>
                    </w:sdtContent>
                  </w:sdt>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4C7"/>
    <w:rsid w:val="00002488"/>
    <w:rsid w:val="000360A6"/>
    <w:rsid w:val="0003727E"/>
    <w:rsid w:val="0004190F"/>
    <w:rsid w:val="00044313"/>
    <w:rsid w:val="00047AFD"/>
    <w:rsid w:val="0005127C"/>
    <w:rsid w:val="000519B3"/>
    <w:rsid w:val="0005270B"/>
    <w:rsid w:val="00052807"/>
    <w:rsid w:val="00055379"/>
    <w:rsid w:val="000634A9"/>
    <w:rsid w:val="000875F6"/>
    <w:rsid w:val="0008776F"/>
    <w:rsid w:val="00094F7B"/>
    <w:rsid w:val="000C0931"/>
    <w:rsid w:val="000C26B0"/>
    <w:rsid w:val="000C334E"/>
    <w:rsid w:val="000D5FA5"/>
    <w:rsid w:val="000D7690"/>
    <w:rsid w:val="000D7747"/>
    <w:rsid w:val="000D79D7"/>
    <w:rsid w:val="000E559A"/>
    <w:rsid w:val="000F10B2"/>
    <w:rsid w:val="000F227F"/>
    <w:rsid w:val="000F4D3B"/>
    <w:rsid w:val="001010A7"/>
    <w:rsid w:val="0010400F"/>
    <w:rsid w:val="00111D26"/>
    <w:rsid w:val="00115DB2"/>
    <w:rsid w:val="0011774A"/>
    <w:rsid w:val="00127A1A"/>
    <w:rsid w:val="001458C7"/>
    <w:rsid w:val="001532D5"/>
    <w:rsid w:val="00162FD4"/>
    <w:rsid w:val="00165BD7"/>
    <w:rsid w:val="00167945"/>
    <w:rsid w:val="00177D7B"/>
    <w:rsid w:val="00184787"/>
    <w:rsid w:val="00193302"/>
    <w:rsid w:val="001A1768"/>
    <w:rsid w:val="001A4938"/>
    <w:rsid w:val="001A74FF"/>
    <w:rsid w:val="001B0969"/>
    <w:rsid w:val="001B541D"/>
    <w:rsid w:val="001C3103"/>
    <w:rsid w:val="001D1690"/>
    <w:rsid w:val="001D274D"/>
    <w:rsid w:val="001D4382"/>
    <w:rsid w:val="001D68C9"/>
    <w:rsid w:val="00202B05"/>
    <w:rsid w:val="0021661E"/>
    <w:rsid w:val="00217B09"/>
    <w:rsid w:val="0022522C"/>
    <w:rsid w:val="002305D2"/>
    <w:rsid w:val="00242459"/>
    <w:rsid w:val="002469F2"/>
    <w:rsid w:val="0024752B"/>
    <w:rsid w:val="00250D93"/>
    <w:rsid w:val="00252993"/>
    <w:rsid w:val="00260BBC"/>
    <w:rsid w:val="00267E5A"/>
    <w:rsid w:val="00286DE8"/>
    <w:rsid w:val="00294F98"/>
    <w:rsid w:val="002A43BB"/>
    <w:rsid w:val="002A6485"/>
    <w:rsid w:val="002B06CD"/>
    <w:rsid w:val="002B127C"/>
    <w:rsid w:val="002C13A3"/>
    <w:rsid w:val="002C169D"/>
    <w:rsid w:val="002C3102"/>
    <w:rsid w:val="002C5B17"/>
    <w:rsid w:val="002C6369"/>
    <w:rsid w:val="002D5113"/>
    <w:rsid w:val="002D664F"/>
    <w:rsid w:val="002D7E51"/>
    <w:rsid w:val="002E2378"/>
    <w:rsid w:val="002F1F9B"/>
    <w:rsid w:val="002F25F7"/>
    <w:rsid w:val="002F5E95"/>
    <w:rsid w:val="0030189B"/>
    <w:rsid w:val="003047B2"/>
    <w:rsid w:val="00317F10"/>
    <w:rsid w:val="003225C3"/>
    <w:rsid w:val="0032287C"/>
    <w:rsid w:val="00323B43"/>
    <w:rsid w:val="00332912"/>
    <w:rsid w:val="0033317C"/>
    <w:rsid w:val="003334E3"/>
    <w:rsid w:val="00334418"/>
    <w:rsid w:val="0034024D"/>
    <w:rsid w:val="00341A3A"/>
    <w:rsid w:val="00343A71"/>
    <w:rsid w:val="003446C7"/>
    <w:rsid w:val="003449B4"/>
    <w:rsid w:val="0035014B"/>
    <w:rsid w:val="0036129E"/>
    <w:rsid w:val="00362F2D"/>
    <w:rsid w:val="00363ECE"/>
    <w:rsid w:val="003700BF"/>
    <w:rsid w:val="00372288"/>
    <w:rsid w:val="00376044"/>
    <w:rsid w:val="0037686F"/>
    <w:rsid w:val="00381CB6"/>
    <w:rsid w:val="0038567B"/>
    <w:rsid w:val="00387BE0"/>
    <w:rsid w:val="00390705"/>
    <w:rsid w:val="00393AF4"/>
    <w:rsid w:val="003A18B4"/>
    <w:rsid w:val="003A4BDE"/>
    <w:rsid w:val="003B7642"/>
    <w:rsid w:val="003B7ED7"/>
    <w:rsid w:val="003C117E"/>
    <w:rsid w:val="003C34C5"/>
    <w:rsid w:val="003C4E07"/>
    <w:rsid w:val="003D1AFC"/>
    <w:rsid w:val="003D37D8"/>
    <w:rsid w:val="003D6E03"/>
    <w:rsid w:val="003E1521"/>
    <w:rsid w:val="003E1ECB"/>
    <w:rsid w:val="003F1192"/>
    <w:rsid w:val="00403738"/>
    <w:rsid w:val="004065D6"/>
    <w:rsid w:val="004071FE"/>
    <w:rsid w:val="00423251"/>
    <w:rsid w:val="00424DC3"/>
    <w:rsid w:val="004252ED"/>
    <w:rsid w:val="00426133"/>
    <w:rsid w:val="0042699E"/>
    <w:rsid w:val="004358AB"/>
    <w:rsid w:val="004374A4"/>
    <w:rsid w:val="00444495"/>
    <w:rsid w:val="0045215E"/>
    <w:rsid w:val="00455DF0"/>
    <w:rsid w:val="00460098"/>
    <w:rsid w:val="00460BF0"/>
    <w:rsid w:val="004617C5"/>
    <w:rsid w:val="004663AB"/>
    <w:rsid w:val="004750FC"/>
    <w:rsid w:val="00481E4C"/>
    <w:rsid w:val="0048238F"/>
    <w:rsid w:val="00495913"/>
    <w:rsid w:val="004A10F7"/>
    <w:rsid w:val="004A1198"/>
    <w:rsid w:val="004A4D48"/>
    <w:rsid w:val="004B544E"/>
    <w:rsid w:val="004C20E0"/>
    <w:rsid w:val="004D2FE2"/>
    <w:rsid w:val="004E52BF"/>
    <w:rsid w:val="004E5CD7"/>
    <w:rsid w:val="004F02B1"/>
    <w:rsid w:val="004F031E"/>
    <w:rsid w:val="004F0DB5"/>
    <w:rsid w:val="004F74FF"/>
    <w:rsid w:val="005031C8"/>
    <w:rsid w:val="005126CC"/>
    <w:rsid w:val="00515441"/>
    <w:rsid w:val="0051582B"/>
    <w:rsid w:val="00515D2A"/>
    <w:rsid w:val="005208CA"/>
    <w:rsid w:val="005234AB"/>
    <w:rsid w:val="0053184E"/>
    <w:rsid w:val="00531A5A"/>
    <w:rsid w:val="00540359"/>
    <w:rsid w:val="00557924"/>
    <w:rsid w:val="0057035C"/>
    <w:rsid w:val="00575AFA"/>
    <w:rsid w:val="00585E70"/>
    <w:rsid w:val="00592C52"/>
    <w:rsid w:val="005943E7"/>
    <w:rsid w:val="005B53C9"/>
    <w:rsid w:val="005B5D70"/>
    <w:rsid w:val="005C16BE"/>
    <w:rsid w:val="005C5FA7"/>
    <w:rsid w:val="005D44C1"/>
    <w:rsid w:val="005E21CA"/>
    <w:rsid w:val="005E4E3B"/>
    <w:rsid w:val="005E667F"/>
    <w:rsid w:val="005E73D6"/>
    <w:rsid w:val="006047B7"/>
    <w:rsid w:val="006064CA"/>
    <w:rsid w:val="0061008B"/>
    <w:rsid w:val="00610DCD"/>
    <w:rsid w:val="00617236"/>
    <w:rsid w:val="00621563"/>
    <w:rsid w:val="0062457E"/>
    <w:rsid w:val="00626233"/>
    <w:rsid w:val="00626F13"/>
    <w:rsid w:val="00627B5C"/>
    <w:rsid w:val="0064141F"/>
    <w:rsid w:val="0064563E"/>
    <w:rsid w:val="00647550"/>
    <w:rsid w:val="00650502"/>
    <w:rsid w:val="00654F1D"/>
    <w:rsid w:val="00655B56"/>
    <w:rsid w:val="00656056"/>
    <w:rsid w:val="00664A25"/>
    <w:rsid w:val="006708C9"/>
    <w:rsid w:val="00674CCE"/>
    <w:rsid w:val="00675C25"/>
    <w:rsid w:val="00680E1D"/>
    <w:rsid w:val="00684D2D"/>
    <w:rsid w:val="00685891"/>
    <w:rsid w:val="006871ED"/>
    <w:rsid w:val="006915E9"/>
    <w:rsid w:val="00695135"/>
    <w:rsid w:val="0069529C"/>
    <w:rsid w:val="0069693E"/>
    <w:rsid w:val="00697184"/>
    <w:rsid w:val="006A6113"/>
    <w:rsid w:val="006B1ECB"/>
    <w:rsid w:val="006B6771"/>
    <w:rsid w:val="006C0F44"/>
    <w:rsid w:val="006C3D96"/>
    <w:rsid w:val="006E7D8F"/>
    <w:rsid w:val="006F7187"/>
    <w:rsid w:val="00704EB1"/>
    <w:rsid w:val="007075B8"/>
    <w:rsid w:val="00710472"/>
    <w:rsid w:val="00710F6A"/>
    <w:rsid w:val="00716ADE"/>
    <w:rsid w:val="007317FD"/>
    <w:rsid w:val="00733221"/>
    <w:rsid w:val="007343AC"/>
    <w:rsid w:val="007346C9"/>
    <w:rsid w:val="00742583"/>
    <w:rsid w:val="00743A88"/>
    <w:rsid w:val="00745E76"/>
    <w:rsid w:val="0075050A"/>
    <w:rsid w:val="0076051E"/>
    <w:rsid w:val="007850E7"/>
    <w:rsid w:val="0079249E"/>
    <w:rsid w:val="00792819"/>
    <w:rsid w:val="007A5B70"/>
    <w:rsid w:val="007B5399"/>
    <w:rsid w:val="007B7FD8"/>
    <w:rsid w:val="007F046F"/>
    <w:rsid w:val="007F4EE9"/>
    <w:rsid w:val="00800709"/>
    <w:rsid w:val="00801343"/>
    <w:rsid w:val="008016CD"/>
    <w:rsid w:val="00813250"/>
    <w:rsid w:val="00827C05"/>
    <w:rsid w:val="00830C3C"/>
    <w:rsid w:val="008404F6"/>
    <w:rsid w:val="00842211"/>
    <w:rsid w:val="00856CF4"/>
    <w:rsid w:val="00867676"/>
    <w:rsid w:val="008805F3"/>
    <w:rsid w:val="008824F9"/>
    <w:rsid w:val="008827AC"/>
    <w:rsid w:val="00882B70"/>
    <w:rsid w:val="00892220"/>
    <w:rsid w:val="008926AF"/>
    <w:rsid w:val="00895763"/>
    <w:rsid w:val="008A21BE"/>
    <w:rsid w:val="008B7726"/>
    <w:rsid w:val="008C5129"/>
    <w:rsid w:val="008D6805"/>
    <w:rsid w:val="008E6831"/>
    <w:rsid w:val="008E6C22"/>
    <w:rsid w:val="008F2A06"/>
    <w:rsid w:val="008F39B1"/>
    <w:rsid w:val="008F4B24"/>
    <w:rsid w:val="0090004A"/>
    <w:rsid w:val="00905769"/>
    <w:rsid w:val="009076BD"/>
    <w:rsid w:val="00910D08"/>
    <w:rsid w:val="00911061"/>
    <w:rsid w:val="00911A94"/>
    <w:rsid w:val="00914195"/>
    <w:rsid w:val="00914489"/>
    <w:rsid w:val="00916E4D"/>
    <w:rsid w:val="0092799F"/>
    <w:rsid w:val="00930036"/>
    <w:rsid w:val="00940F36"/>
    <w:rsid w:val="009411D7"/>
    <w:rsid w:val="00941D4A"/>
    <w:rsid w:val="009423B9"/>
    <w:rsid w:val="00944DD6"/>
    <w:rsid w:val="0094733D"/>
    <w:rsid w:val="00951369"/>
    <w:rsid w:val="00952827"/>
    <w:rsid w:val="00955970"/>
    <w:rsid w:val="009561FB"/>
    <w:rsid w:val="009652F9"/>
    <w:rsid w:val="00984A3F"/>
    <w:rsid w:val="00984D33"/>
    <w:rsid w:val="00986308"/>
    <w:rsid w:val="0099013F"/>
    <w:rsid w:val="009915BA"/>
    <w:rsid w:val="009952A6"/>
    <w:rsid w:val="009963F1"/>
    <w:rsid w:val="009964BB"/>
    <w:rsid w:val="009977D1"/>
    <w:rsid w:val="00997B0E"/>
    <w:rsid w:val="009A2F1C"/>
    <w:rsid w:val="009A6307"/>
    <w:rsid w:val="009A6ABA"/>
    <w:rsid w:val="009A6D5F"/>
    <w:rsid w:val="009B023F"/>
    <w:rsid w:val="009B15EB"/>
    <w:rsid w:val="009B745F"/>
    <w:rsid w:val="009D0079"/>
    <w:rsid w:val="009D72C0"/>
    <w:rsid w:val="009E3BCA"/>
    <w:rsid w:val="009E4645"/>
    <w:rsid w:val="009F0DF4"/>
    <w:rsid w:val="009F2A12"/>
    <w:rsid w:val="009F446B"/>
    <w:rsid w:val="00A037A9"/>
    <w:rsid w:val="00A04811"/>
    <w:rsid w:val="00A06EB4"/>
    <w:rsid w:val="00A13659"/>
    <w:rsid w:val="00A13E16"/>
    <w:rsid w:val="00A34127"/>
    <w:rsid w:val="00A40676"/>
    <w:rsid w:val="00A40C49"/>
    <w:rsid w:val="00A41C52"/>
    <w:rsid w:val="00A43A33"/>
    <w:rsid w:val="00A440B3"/>
    <w:rsid w:val="00A45D45"/>
    <w:rsid w:val="00A54575"/>
    <w:rsid w:val="00A6172D"/>
    <w:rsid w:val="00A67148"/>
    <w:rsid w:val="00A70A73"/>
    <w:rsid w:val="00A76A1B"/>
    <w:rsid w:val="00A86337"/>
    <w:rsid w:val="00A86991"/>
    <w:rsid w:val="00AA6691"/>
    <w:rsid w:val="00AB12CB"/>
    <w:rsid w:val="00AC1EA3"/>
    <w:rsid w:val="00AC2E49"/>
    <w:rsid w:val="00AC2FA5"/>
    <w:rsid w:val="00AC739B"/>
    <w:rsid w:val="00AD30AB"/>
    <w:rsid w:val="00AD3C0B"/>
    <w:rsid w:val="00AD57C1"/>
    <w:rsid w:val="00AE2FD0"/>
    <w:rsid w:val="00AE3080"/>
    <w:rsid w:val="00AE38CC"/>
    <w:rsid w:val="00AE417D"/>
    <w:rsid w:val="00AE58ED"/>
    <w:rsid w:val="00AE77CB"/>
    <w:rsid w:val="00AF2F25"/>
    <w:rsid w:val="00AF38F6"/>
    <w:rsid w:val="00B03221"/>
    <w:rsid w:val="00B0573F"/>
    <w:rsid w:val="00B15FB3"/>
    <w:rsid w:val="00B16D31"/>
    <w:rsid w:val="00B16D99"/>
    <w:rsid w:val="00B24937"/>
    <w:rsid w:val="00B2627B"/>
    <w:rsid w:val="00B3630D"/>
    <w:rsid w:val="00B43C5E"/>
    <w:rsid w:val="00B4504A"/>
    <w:rsid w:val="00B46408"/>
    <w:rsid w:val="00B60B79"/>
    <w:rsid w:val="00B719F6"/>
    <w:rsid w:val="00B81781"/>
    <w:rsid w:val="00B82096"/>
    <w:rsid w:val="00B84589"/>
    <w:rsid w:val="00BA0595"/>
    <w:rsid w:val="00BA301F"/>
    <w:rsid w:val="00BA39E2"/>
    <w:rsid w:val="00BA5359"/>
    <w:rsid w:val="00BB52AC"/>
    <w:rsid w:val="00BB59EF"/>
    <w:rsid w:val="00BC04D8"/>
    <w:rsid w:val="00BC3774"/>
    <w:rsid w:val="00BC6EB7"/>
    <w:rsid w:val="00BC7696"/>
    <w:rsid w:val="00BD480F"/>
    <w:rsid w:val="00BE6C92"/>
    <w:rsid w:val="00BF79EB"/>
    <w:rsid w:val="00C070FD"/>
    <w:rsid w:val="00C076DD"/>
    <w:rsid w:val="00C135D3"/>
    <w:rsid w:val="00C13CEF"/>
    <w:rsid w:val="00C172F9"/>
    <w:rsid w:val="00C248EB"/>
    <w:rsid w:val="00C25E84"/>
    <w:rsid w:val="00C43AF2"/>
    <w:rsid w:val="00C43D9E"/>
    <w:rsid w:val="00C43DCF"/>
    <w:rsid w:val="00C47E72"/>
    <w:rsid w:val="00C50FB0"/>
    <w:rsid w:val="00C555EC"/>
    <w:rsid w:val="00C62271"/>
    <w:rsid w:val="00C62F72"/>
    <w:rsid w:val="00C64DCC"/>
    <w:rsid w:val="00C656FE"/>
    <w:rsid w:val="00C963F7"/>
    <w:rsid w:val="00CA05A3"/>
    <w:rsid w:val="00CA0ACE"/>
    <w:rsid w:val="00CA29D1"/>
    <w:rsid w:val="00CA439F"/>
    <w:rsid w:val="00CA75D6"/>
    <w:rsid w:val="00CB2F78"/>
    <w:rsid w:val="00CB5542"/>
    <w:rsid w:val="00CC3E1F"/>
    <w:rsid w:val="00CC5CEF"/>
    <w:rsid w:val="00CC6C2F"/>
    <w:rsid w:val="00CE7082"/>
    <w:rsid w:val="00CE7EF5"/>
    <w:rsid w:val="00CF2A77"/>
    <w:rsid w:val="00D13765"/>
    <w:rsid w:val="00D16239"/>
    <w:rsid w:val="00D16867"/>
    <w:rsid w:val="00D204C2"/>
    <w:rsid w:val="00D22228"/>
    <w:rsid w:val="00D25519"/>
    <w:rsid w:val="00D2568E"/>
    <w:rsid w:val="00D31D50"/>
    <w:rsid w:val="00D40691"/>
    <w:rsid w:val="00D41463"/>
    <w:rsid w:val="00D5611D"/>
    <w:rsid w:val="00D63995"/>
    <w:rsid w:val="00D647F0"/>
    <w:rsid w:val="00D720DB"/>
    <w:rsid w:val="00D736A0"/>
    <w:rsid w:val="00D850B6"/>
    <w:rsid w:val="00D86B3C"/>
    <w:rsid w:val="00D8763D"/>
    <w:rsid w:val="00D90A33"/>
    <w:rsid w:val="00D90DD6"/>
    <w:rsid w:val="00D97C58"/>
    <w:rsid w:val="00DA00AF"/>
    <w:rsid w:val="00DA0D5A"/>
    <w:rsid w:val="00DA5594"/>
    <w:rsid w:val="00DA7F96"/>
    <w:rsid w:val="00DB1D8A"/>
    <w:rsid w:val="00DB41E7"/>
    <w:rsid w:val="00DB69F6"/>
    <w:rsid w:val="00DC1225"/>
    <w:rsid w:val="00DC1AB3"/>
    <w:rsid w:val="00DF4AA3"/>
    <w:rsid w:val="00DF5460"/>
    <w:rsid w:val="00DF67F5"/>
    <w:rsid w:val="00E0029E"/>
    <w:rsid w:val="00E040CD"/>
    <w:rsid w:val="00E1197B"/>
    <w:rsid w:val="00E11C75"/>
    <w:rsid w:val="00E17CAC"/>
    <w:rsid w:val="00E22065"/>
    <w:rsid w:val="00E22600"/>
    <w:rsid w:val="00E25CB2"/>
    <w:rsid w:val="00E26B00"/>
    <w:rsid w:val="00E30809"/>
    <w:rsid w:val="00E43A3A"/>
    <w:rsid w:val="00E44FFF"/>
    <w:rsid w:val="00E55851"/>
    <w:rsid w:val="00E56CC2"/>
    <w:rsid w:val="00E5766F"/>
    <w:rsid w:val="00E66DC7"/>
    <w:rsid w:val="00E67AAA"/>
    <w:rsid w:val="00E72A80"/>
    <w:rsid w:val="00E72F66"/>
    <w:rsid w:val="00E743D1"/>
    <w:rsid w:val="00E74837"/>
    <w:rsid w:val="00E86DC6"/>
    <w:rsid w:val="00EA3B6B"/>
    <w:rsid w:val="00EA4834"/>
    <w:rsid w:val="00EB2030"/>
    <w:rsid w:val="00EB6919"/>
    <w:rsid w:val="00EB7FD0"/>
    <w:rsid w:val="00EC02B3"/>
    <w:rsid w:val="00ED1ABD"/>
    <w:rsid w:val="00ED5750"/>
    <w:rsid w:val="00ED5A4E"/>
    <w:rsid w:val="00ED7CEF"/>
    <w:rsid w:val="00F00848"/>
    <w:rsid w:val="00F04503"/>
    <w:rsid w:val="00F11EEF"/>
    <w:rsid w:val="00F132A5"/>
    <w:rsid w:val="00F15B0B"/>
    <w:rsid w:val="00F17CA0"/>
    <w:rsid w:val="00F642B7"/>
    <w:rsid w:val="00F675FB"/>
    <w:rsid w:val="00F81E75"/>
    <w:rsid w:val="00F83235"/>
    <w:rsid w:val="00F86B97"/>
    <w:rsid w:val="00F97FA2"/>
    <w:rsid w:val="00FA5B1E"/>
    <w:rsid w:val="00FB1E94"/>
    <w:rsid w:val="00FD65A0"/>
    <w:rsid w:val="00FD7472"/>
    <w:rsid w:val="00FE2253"/>
    <w:rsid w:val="00FE789B"/>
    <w:rsid w:val="0DD120E3"/>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3"/>
    <w:qFormat/>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5"/>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Document Map"/>
    <w:basedOn w:val="1"/>
    <w:link w:val="28"/>
    <w:semiHidden/>
    <w:unhideWhenUsed/>
    <w:qFormat/>
    <w:uiPriority w:val="99"/>
    <w:rPr>
      <w:rFonts w:ascii="宋体" w:eastAsia="宋体"/>
      <w:sz w:val="18"/>
      <w:szCs w:val="18"/>
    </w:rPr>
  </w:style>
  <w:style w:type="paragraph" w:styleId="8">
    <w:name w:val="toc 3"/>
    <w:basedOn w:val="1"/>
    <w:next w:val="1"/>
    <w:unhideWhenUsed/>
    <w:qFormat/>
    <w:uiPriority w:val="39"/>
    <w:pPr>
      <w:ind w:left="840" w:leftChars="400"/>
    </w:pPr>
  </w:style>
  <w:style w:type="paragraph" w:styleId="9">
    <w:name w:val="Balloon Text"/>
    <w:basedOn w:val="1"/>
    <w:link w:val="22"/>
    <w:unhideWhenUsed/>
    <w:uiPriority w:val="99"/>
    <w:pPr>
      <w:spacing w:after="0"/>
    </w:pPr>
    <w:rPr>
      <w:sz w:val="18"/>
      <w:szCs w:val="18"/>
    </w:rPr>
  </w:style>
  <w:style w:type="paragraph" w:styleId="10">
    <w:name w:val="footer"/>
    <w:basedOn w:val="1"/>
    <w:link w:val="21"/>
    <w:unhideWhenUsed/>
    <w:qFormat/>
    <w:uiPriority w:val="0"/>
    <w:pPr>
      <w:tabs>
        <w:tab w:val="center" w:pos="4153"/>
        <w:tab w:val="right" w:pos="8306"/>
      </w:tabs>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uiPriority w:val="39"/>
  </w:style>
  <w:style w:type="paragraph" w:styleId="13">
    <w:name w:val="toc 2"/>
    <w:basedOn w:val="1"/>
    <w:next w:val="1"/>
    <w:unhideWhenUsed/>
    <w:qFormat/>
    <w:uiPriority w:val="39"/>
    <w:pPr>
      <w:ind w:left="420" w:leftChars="200"/>
    </w:pPr>
  </w:style>
  <w:style w:type="paragraph" w:styleId="14">
    <w:name w:val="Normal (Web)"/>
    <w:basedOn w:val="1"/>
    <w:link w:val="31"/>
    <w:uiPriority w:val="0"/>
    <w:pPr>
      <w:adjustRightInd/>
      <w:snapToGrid/>
      <w:spacing w:after="0"/>
    </w:pPr>
    <w:rPr>
      <w:rFonts w:ascii="宋体" w:hAnsi="宋体"/>
      <w:sz w:val="24"/>
      <w:szCs w:val="20"/>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Hyperlink"/>
    <w:basedOn w:val="17"/>
    <w:unhideWhenUsed/>
    <w:qFormat/>
    <w:uiPriority w:val="99"/>
    <w:rPr>
      <w:color w:val="0000FF" w:themeColor="hyperlink"/>
      <w:u w:val="single"/>
    </w:rPr>
  </w:style>
  <w:style w:type="paragraph" w:customStyle="1" w:styleId="19">
    <w:name w:val="列出段落1"/>
    <w:basedOn w:val="1"/>
    <w:qFormat/>
    <w:uiPriority w:val="34"/>
    <w:pPr>
      <w:ind w:firstLine="420" w:firstLineChars="200"/>
    </w:pPr>
  </w:style>
  <w:style w:type="character" w:customStyle="1" w:styleId="20">
    <w:name w:val="页眉 字符"/>
    <w:basedOn w:val="17"/>
    <w:link w:val="11"/>
    <w:semiHidden/>
    <w:qFormat/>
    <w:uiPriority w:val="99"/>
    <w:rPr>
      <w:rFonts w:ascii="Tahoma" w:hAnsi="Tahoma"/>
      <w:sz w:val="18"/>
      <w:szCs w:val="18"/>
    </w:rPr>
  </w:style>
  <w:style w:type="character" w:customStyle="1" w:styleId="21">
    <w:name w:val="页脚 字符"/>
    <w:basedOn w:val="17"/>
    <w:link w:val="10"/>
    <w:qFormat/>
    <w:uiPriority w:val="0"/>
    <w:rPr>
      <w:rFonts w:ascii="Tahoma" w:hAnsi="Tahoma"/>
      <w:sz w:val="18"/>
      <w:szCs w:val="18"/>
    </w:rPr>
  </w:style>
  <w:style w:type="character" w:customStyle="1" w:styleId="22">
    <w:name w:val="批注框文本 字符"/>
    <w:basedOn w:val="17"/>
    <w:link w:val="9"/>
    <w:semiHidden/>
    <w:qFormat/>
    <w:uiPriority w:val="99"/>
    <w:rPr>
      <w:rFonts w:ascii="Tahoma" w:hAnsi="Tahoma"/>
      <w:sz w:val="18"/>
      <w:szCs w:val="18"/>
    </w:rPr>
  </w:style>
  <w:style w:type="character" w:customStyle="1" w:styleId="23">
    <w:name w:val="标题 1 字符"/>
    <w:basedOn w:val="17"/>
    <w:link w:val="2"/>
    <w:qFormat/>
    <w:uiPriority w:val="0"/>
    <w:rPr>
      <w:rFonts w:ascii="Times New Roman" w:hAnsi="Times New Roman" w:eastAsia="宋体" w:cs="Times New Roman"/>
      <w:b/>
      <w:bCs/>
      <w:kern w:val="44"/>
      <w:sz w:val="44"/>
      <w:szCs w:val="44"/>
    </w:rPr>
  </w:style>
  <w:style w:type="character" w:customStyle="1" w:styleId="24">
    <w:name w:val="标题 3 字符"/>
    <w:basedOn w:val="17"/>
    <w:link w:val="4"/>
    <w:qFormat/>
    <w:uiPriority w:val="0"/>
    <w:rPr>
      <w:rFonts w:ascii="Times New Roman" w:hAnsi="Times New Roman" w:eastAsia="宋体" w:cs="Times New Roman"/>
      <w:b/>
      <w:bCs/>
      <w:kern w:val="2"/>
      <w:sz w:val="32"/>
      <w:szCs w:val="32"/>
    </w:rPr>
  </w:style>
  <w:style w:type="character" w:customStyle="1" w:styleId="25">
    <w:name w:val="标题 4 字符"/>
    <w:basedOn w:val="17"/>
    <w:link w:val="5"/>
    <w:qFormat/>
    <w:uiPriority w:val="0"/>
    <w:rPr>
      <w:rFonts w:ascii="Arial" w:hAnsi="Arial" w:eastAsia="黑体" w:cs="Times New Roman"/>
      <w:b/>
      <w:bCs/>
      <w:kern w:val="2"/>
      <w:sz w:val="28"/>
      <w:szCs w:val="28"/>
    </w:rPr>
  </w:style>
  <w:style w:type="character" w:customStyle="1" w:styleId="26">
    <w:name w:val="标题 5 字符"/>
    <w:basedOn w:val="17"/>
    <w:link w:val="6"/>
    <w:semiHidden/>
    <w:uiPriority w:val="9"/>
    <w:rPr>
      <w:rFonts w:ascii="Tahoma" w:hAnsi="Tahoma"/>
      <w:b/>
      <w:bCs/>
      <w:sz w:val="28"/>
      <w:szCs w:val="28"/>
    </w:rPr>
  </w:style>
  <w:style w:type="character" w:customStyle="1" w:styleId="27">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8">
    <w:name w:val="文档结构图 字符"/>
    <w:basedOn w:val="17"/>
    <w:link w:val="7"/>
    <w:semiHidden/>
    <w:uiPriority w:val="99"/>
    <w:rPr>
      <w:rFonts w:ascii="宋体" w:hAnsi="Tahoma" w:eastAsia="宋体"/>
      <w:sz w:val="18"/>
      <w:szCs w:val="18"/>
    </w:rPr>
  </w:style>
  <w:style w:type="paragraph" w:customStyle="1" w:styleId="2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30">
    <w:name w:val="List Paragraph"/>
    <w:basedOn w:val="1"/>
    <w:unhideWhenUsed/>
    <w:uiPriority w:val="99"/>
    <w:pPr>
      <w:ind w:firstLine="420" w:firstLineChars="200"/>
    </w:pPr>
  </w:style>
  <w:style w:type="character" w:customStyle="1" w:styleId="31">
    <w:name w:val="普通(网站) 字符"/>
    <w:link w:val="14"/>
    <w:uiPriority w:val="0"/>
    <w:rPr>
      <w:rFonts w:ascii="宋体" w:hAnsi="宋体"/>
      <w:sz w:val="24"/>
    </w:rPr>
  </w:style>
  <w:style w:type="paragraph" w:customStyle="1" w:styleId="32">
    <w:name w:val="Char Char1"/>
    <w:basedOn w:val="2"/>
    <w:qFormat/>
    <w:uiPriority w:val="0"/>
    <w:pPr>
      <w:tabs>
        <w:tab w:val="left" w:pos="432"/>
      </w:tabs>
      <w:adjustRightInd w:val="0"/>
      <w:spacing w:before="0" w:after="0" w:line="480" w:lineRule="auto"/>
      <w:textAlignment w:val="baseline"/>
    </w:pPr>
    <w:rPr>
      <w:rFonts w:ascii="黑体" w:hAnsi="宋体" w:eastAsia="黑体"/>
      <w:bCs w:val="0"/>
      <w:sz w:val="32"/>
      <w:szCs w:val="32"/>
    </w:rPr>
  </w:style>
  <w:style w:type="paragraph" w:customStyle="1" w:styleId="33">
    <w:name w:val="p0"/>
    <w:basedOn w:val="1"/>
    <w:qFormat/>
    <w:uiPriority w:val="0"/>
    <w:pPr>
      <w:adjustRightInd/>
      <w:snapToGrid/>
      <w:spacing w:after="0"/>
      <w:jc w:val="both"/>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A145C-82C3-4DB4-AAF4-DEF581170013}">
  <ds:schemaRefs/>
</ds:datastoreItem>
</file>

<file path=docProps/app.xml><?xml version="1.0" encoding="utf-8"?>
<Properties xmlns="http://schemas.openxmlformats.org/officeDocument/2006/extended-properties" xmlns:vt="http://schemas.openxmlformats.org/officeDocument/2006/docPropsVTypes">
  <Template>Normal</Template>
  <Pages>1</Pages>
  <Words>2331</Words>
  <Characters>13292</Characters>
  <Lines>110</Lines>
  <Paragraphs>31</Paragraphs>
  <TotalTime>814</TotalTime>
  <ScaleCrop>false</ScaleCrop>
  <LinksUpToDate>false</LinksUpToDate>
  <CharactersWithSpaces>15592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2018-01-18T07:55:00Z</dcterms:created>
  <dc:creator>Administrator</dc:creator>
  <cp:lastModifiedBy>xy</cp:lastModifiedBy>
  <cp:lastPrinted>2020-08-06T08:10:00Z</cp:lastPrinted>
  <dcterms:modified xsi:type="dcterms:W3CDTF">2020-08-06T08:19:50Z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